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59a8576f945843f6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" w:after="60"/>
        <w:jc w:val="center"/>
      </w:pPr>
      <w:r>
        <w:rPr>
          <w:rFonts w:ascii="Calibri" w:hAnsi="Calibri" w:eastAsia="Microsoft YaHei"/>
          <w:b/>
          <w:color w:val="1a1a1a"/>
          <w:sz w:val="44"/>
        </w:rPr>
        <w:t>经济史复习指南</w:t>
      </w:r>
    </w:p>
    <w:p>
      <w:pPr>
        <w:spacing w:after="200"/>
        <w:jc w:val="center"/>
      </w:pPr>
      <w:r>
        <w:rPr>
          <w:rFonts w:ascii="Calibri" w:hAnsi="Calibri" w:eastAsia="Microsoft YaHei"/>
          <w:color w:val="888888"/>
          <w:sz w:val="18"/>
        </w:rPr>
        <w:t>复习大纲 + 教材页码 + 课堂重点 | 拿着就能直接背</w:t>
      </w:r>
    </w:p>
    <w:p>
      <w:pPr>
        <w:pBdr>
          <w:bottom w:val="single" w:color="b85c00" w:sz="6"/>
        </w:pBdr>
        <w:spacing w:after="240"/>
      </w:pPr>
    </w:p>
    <w:p>
      <w:pPr>
        <w:pStyle w:val="Heading1"/>
      </w:pPr>
      <w:r>
        <w:t>考试题型（来自复习大纲图片）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判断对错题 — 10分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不定项选择题 — 35分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简答题（三选二） — 14分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论述题（三选二） — 20分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材料分析题（二选一） — 21分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老师提示：主观题围绕中国现代化发展、产业升级、制度变迁展开，掌握关键词+前因后果</w:t>
      </w:r>
    </w:p>
    <w:p>
      <w:pPr>
        <w:pStyle w:val="Heading1"/>
      </w:pPr>
      <w:r>
        <w:t>一、前言与古代经济形态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经济史的源与流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历史唯物主义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经济史研究方法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经济史研究范畴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自然经济与小农经济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井田制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土地兼并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土地买卖制度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租佃关系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四民分业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重农抑商政策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古代农事科技典籍（《夏小正》《天工开物》等）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中国古代社会超稳定结构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"宅兹中国"</w:t>
      </w:r>
    </w:p>
    <w:p>
      <w:pPr>
        <w:pStyle w:val="Heading2"/>
      </w:pPr>
      <w:r>
        <w:t>课堂补充重点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第14页 </w:t>
      </w:r>
      <w:r>
        <w:rPr>
          <w:color w:val="666666"/>
          <w:sz w:val="18"/>
        </w:rPr>
        <w:t>资源禀赋：优质耕地有限、贫矿多富矿少、人均水资源仅世界35%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第19-20页 </w:t>
      </w:r>
      <w:r>
        <w:rPr>
          <w:color w:val="666666"/>
          <w:sz w:val="18"/>
        </w:rPr>
        <w:t>小农经济起源：《说文解字》田界记载、土地私有边界意识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第25页 </w:t>
      </w:r>
      <w:r>
        <w:rPr>
          <w:color w:val="666666"/>
          <w:sz w:val="18"/>
        </w:rPr>
        <w:t>第一次社会大分工：畜牧业与农业分离（必考）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第28页 </w:t>
      </w:r>
      <w:r>
        <w:rPr>
          <w:color w:val="666666"/>
          <w:sz w:val="18"/>
        </w:rPr>
        <w:t>高产作物引入：玉米薯类从大航海时代美洲传入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第30页 </w:t>
      </w:r>
      <w:r>
        <w:rPr>
          <w:color w:val="666666"/>
          <w:sz w:val="18"/>
        </w:rPr>
        <w:t>400毫米等降水量线 = 农耕/游牧分界线 = 长城分布线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第36页 </w:t>
      </w:r>
      <w:r>
        <w:rPr>
          <w:color w:val="666666"/>
          <w:sz w:val="18"/>
        </w:rPr>
        <w:t>朝代更迭核心动因：地权分配博弈（所有权/使用权/收益权）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第40页 </w:t>
      </w:r>
      <w:r>
        <w:rPr>
          <w:color w:val="666666"/>
          <w:sz w:val="18"/>
        </w:rPr>
        <w:t>租佃关系演变：地租形态变化（劳役地租→...）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第49页 </w:t>
      </w:r>
      <w:r>
        <w:rPr>
          <w:color w:val="666666"/>
          <w:sz w:val="18"/>
        </w:rPr>
        <w:t>历史周期波动：人口增长+土地稀缺→内卷→起义→重构</w:t>
      </w:r>
    </w:p>
    <w:p>
      <w:pPr>
        <w:pStyle w:val="Heading1"/>
      </w:pPr>
      <w:r>
        <w:t>二、古代赋税制度与经济政策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汉代算缗令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隋唐租庸调制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均田制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两税法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明代一条鞭法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清代摊丁入亩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赋役制度演变趋势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商鞅变法（废井田、开阡陌）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王莽改制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币制改革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桑弘羊经济主张（《盐铁论》辩论）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王安石变法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延和殿廷辩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汉代与唐代民生经济管控政策对比</w:t>
      </w:r>
    </w:p>
    <w:p>
      <w:pPr>
        <w:pStyle w:val="Heading2"/>
      </w:pPr>
      <w:r>
        <w:t>课堂补充重点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第86-92页 </w:t>
      </w:r>
      <w:r>
        <w:rPr>
          <w:color w:val="666666"/>
          <w:sz w:val="18"/>
        </w:rPr>
        <w:t>财政制度变迁脉络：从人丁为本→地产为本→摊丁入亩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第100页起 </w:t>
      </w:r>
      <w:r>
        <w:rPr>
          <w:color w:val="666666"/>
          <w:sz w:val="18"/>
        </w:rPr>
        <w:t>货币制度分析视角：制度需求+技术供给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分析框架：财政绩效评价缺乏量化数据，可参考诺奖经济史研究思路</w:t>
      </w:r>
    </w:p>
    <w:p>
      <w:pPr>
        <w:pStyle w:val="Heading1"/>
      </w:pPr>
      <w:r>
        <w:t>三、古代商业、货币与对外经贸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市坊制度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宋代商品经济发展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市舶司职能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古代对外贸易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北宋交子（含官交子与飞钱的对比）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陆上丝绸之路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海上丝绸之路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青铜之路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茶马古道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古代水利工程（京杭大运河、都江堰、灵渠等）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经济重心南移</w:t>
      </w:r>
    </w:p>
    <w:p>
      <w:pPr>
        <w:pStyle w:val="Heading2"/>
      </w:pPr>
      <w:r>
        <w:t>课堂补充重点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第64页 </w:t>
      </w:r>
      <w:r>
        <w:rPr>
          <w:color w:val="666666"/>
          <w:sz w:val="18"/>
        </w:rPr>
        <w:t>手工业发展与经济重心南移同步（考点）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第77页 </w:t>
      </w:r>
      <w:r>
        <w:rPr>
          <w:color w:val="666666"/>
          <w:sz w:val="18"/>
        </w:rPr>
        <w:t>商务重点：陆上丝绸之路与海上丝绸之路联动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第79页 </w:t>
      </w:r>
      <w:r>
        <w:rPr>
          <w:color w:val="666666"/>
          <w:sz w:val="18"/>
        </w:rPr>
        <w:t>对外贸易政策：用交易成本+路径依赖分析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青铜之路：小麦种植、青铜技术从中东两河流域经此传入中原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交子是世界最早纸币，但未发展出现代金融体系 → 李约瑟之谜</w:t>
      </w:r>
    </w:p>
    <w:p>
      <w:pPr>
        <w:pStyle w:val="Heading1"/>
      </w:pPr>
      <w:r>
        <w:t>四、近代中国经济变迁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自然经济解体的表现及影响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洋务运动的举措与历史局限性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近代民族工业发展历程（"短暂春天"、行业特征与发展阻碍因素）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1927-1937年的"黄金十年"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国民政府金圆券改革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近代银本位制度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中国卷入资本主义世界市场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依附型工业化特征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近代外资与民族资本关系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商帮（晋商、徽商等）</w:t>
      </w:r>
    </w:p>
    <w:p>
      <w:pPr>
        <w:pStyle w:val="Heading2"/>
      </w:pPr>
      <w:r>
        <w:t>课堂补充重点（必考）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第136页左右 </w:t>
      </w:r>
      <w:r>
        <w:rPr>
          <w:color w:val="666666"/>
          <w:sz w:val="18"/>
        </w:rPr>
        <w:t>中国卷入资本主义世界市场的过程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第140-145页 </w:t>
      </w:r>
      <w:r>
        <w:rPr>
          <w:color w:val="666666"/>
          <w:sz w:val="18"/>
        </w:rPr>
        <w:t>晚清/北洋政府经济政策</w:t>
      </w:r>
    </w:p>
    <w:p>
      <w:pPr>
        <w:pBdr>
          <w:left w:val="single" w:color="dddddd" w:sz="3" w:space="6"/>
        </w:pBdr>
        <w:spacing w:after="40"/>
        <w:ind w:left="320" w:hanging="280"/>
      </w:pPr>
      <w:r>
        <w:rPr>
          <w:b/>
          <w:color w:val="b85c00"/>
          <w:sz w:val="18"/>
        </w:rPr>
        <w:t xml:space="preserve">→ 第151页起往后10页 </w:t>
      </w:r>
      <w:r>
        <w:rPr>
          <w:color w:val="666666"/>
          <w:sz w:val="18"/>
        </w:rPr>
        <w:t>南京国民政府经济政策、币制改革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黄金十年成因（必考）：大萧条→金本位国囤金→银价暴跌→中国货币被动贬值→获发展优势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近代经济形态：外源型增长、依附性、沿海内陆二元对立、结构扭曲</w:t>
      </w:r>
    </w:p>
    <w:p>
      <w:pPr>
        <w:pStyle w:val="Heading1"/>
      </w:pPr>
      <w:r>
        <w:t>五、现当代中国经济发展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一五计划建设重点（重工业、基础设施）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大跃进经济特征与问题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经济特区设立目的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改革开放（先对内改革，后对外开放）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中国成为"世界工厂"的内外动因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社会主义市场经济体制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政府职能转变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加入WTO的经济影响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一带一路倡议及要素流动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低碳经济内涵</w:t>
      </w:r>
    </w:p>
    <w:p>
      <w:pPr>
        <w:pStyle w:val="Heading2"/>
      </w:pPr>
      <w:r>
        <w:t>课堂补充重点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新中国成立实现完整独立主权 = 自主制度选择的逻辑起点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1949年工业占比仅12.6% + 西方封锁 → 计划经济+优先重工业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一五计划学苏联：取集中力量办大事之长，避压制市场活力之短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社会主义改造双重效应：快速积累工业基础 vs 压制民间创新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改革开放：先对内改革、后对外开放；1978-1992 / 1992-入世 两阶段</w:t>
      </w:r>
    </w:p>
    <w:p>
      <w:pPr>
        <w:pStyle w:val="Heading1"/>
      </w:pPr>
      <w:r>
        <w:t>六、发展理念与新质生产力形态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高速增长与高质量发展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熵增定律与经济发展选择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新质生产力核心特征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资源与环境约束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长期工业发展难题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经济周期波动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AI对传统经济周期的影响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《中国制造2025》十大重点领域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从中国制造到智造的演进逻辑</w:t>
      </w:r>
    </w:p>
    <w:p>
      <w:pPr>
        <w:pStyle w:val="Heading2"/>
      </w:pPr>
      <w:r>
        <w:t>课堂补充重点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产业升级：向微笑曲线上游攀登，延伸产业链供应链长度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超大规模国内市场 = 自我修复能力 = 双循环战略基础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中国制造→中国智造：规模导向→质量导向，要素驱动→创新驱动</w:t>
      </w:r>
    </w:p>
    <w:p>
      <w:pPr>
        <w:pStyle w:val="Heading1"/>
      </w:pPr>
      <w:r>
        <w:t>七、经典经济理论与制度分析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诺斯制度变迁理论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科斯交易成本与产权理论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李约瑟之谜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国进民退与国退民进思辨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哈耶克 vs. 凯恩斯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斯密 vs. 李斯特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国家经济职能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国企改革方向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高水平社会主义市场经济体制的制度支撑</w:t>
      </w:r>
    </w:p>
    <w:p>
      <w:pPr>
        <w:pStyle w:val="Heading2"/>
      </w:pPr>
      <w:r>
        <w:t>课堂补充重点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诺斯悖论（国家两重人格理论）：双重目标①社会总产出最大化 ②租金最大化 → 天然矛盾 → 制度创新实现激励相容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先发（英国/斯密）vs 后发（德国/李斯特）：自由市场 vs 国家主导 → 初始约束条件不同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科斯定理：交易成本为零时产权配置不影响效率，但现实中交易成本永不为零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李约瑟之谜：为什么科学和工业革命没有在近代中国发生？</w:t>
      </w:r>
    </w:p>
    <w:p>
      <w:pPr>
        <w:pStyle w:val="Heading1"/>
      </w:pPr>
      <w:r>
        <w:t>八、前沿拓展与综合议题</w:t>
      </w:r>
    </w:p>
    <w:p>
      <w:pPr>
        <w:pStyle w:val="Heading2"/>
      </w:pPr>
      <w:r>
        <w:t>复习大纲列出的全部考点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中国国土资源结构（经济地理）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区域资源要素禀赋与区域经济发展建议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AI作为中国经济史分析的技术杠杆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修昔底德陷阱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东西方视角下不同经济发展历程的交叉比对（时空观）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产缘政治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文明碰撞论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文明西来说</w:t>
      </w:r>
    </w:p>
    <w:p>
      <w:pPr>
        <w:pStyle w:val="Heading2"/>
      </w:pPr>
      <w:r>
        <w:t>课堂补充重点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棉花：谁控制棉花谁控制近代世界经济 → 英俄争夺 → 波及新疆 → 南北战争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煤炭：英国煤炭占全球2/3，支撑工业化城市化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化肥：石油蒸馏制化肥 → 1800年后人口从10亿→70亿</w:t>
      </w:r>
    </w:p>
    <w:p>
      <w:pPr>
        <w:spacing w:after="60"/>
        <w:ind w:left="320"/>
      </w:pPr>
      <w:r>
        <w:rPr>
          <w:color w:val="b85c00"/>
          <w:sz w:val="18"/>
        </w:rPr>
        <w:t xml:space="preserve">▸ </w:t>
      </w:r>
      <w:r>
        <w:rPr>
          <w:i/>
          <w:color w:val="666666"/>
          <w:sz w:val="18"/>
        </w:rPr>
        <w:t>国际货币：西班牙银元→英国推金本位，因果是英国强非金本位造英国</w:t>
      </w:r>
    </w:p>
    <w:p>
      <w:pPr>
        <w:pStyle w:val="Heading1"/>
      </w:pPr>
      <w:r>
        <w:t>考前Checklist</w:t>
      </w:r>
    </w:p>
    <w:p>
      <w:pPr>
        <w:pStyle w:val="Heading2"/>
      </w:pPr>
      <w:r>
        <w:t>最高优先级（老师课堂标重点 / 复习大纲核心）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第一次社会大分工 — 必考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400毫米等降水量线 — 农耕/游牧分界线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1927-1937黄金十年成因 — 必考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诺斯悖论 — 核心框架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斯密 vs 李斯特 — 先发vs后发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经济重心南移 — 手工业同步发展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英国vs德国工业化路径 — 必考</w:t>
      </w:r>
    </w:p>
    <w:p>
      <w:pPr>
        <w:spacing w:after="40"/>
        <w:ind w:left="320" w:hanging="160"/>
      </w:pPr>
      <w:r>
        <w:rPr>
          <w:b/>
          <w:color w:val="c45c00"/>
          <w:sz w:val="19"/>
        </w:rPr>
        <w:t xml:space="preserve">★ </w:t>
      </w:r>
      <w:r>
        <w:rPr>
          <w:b/>
          <w:color w:val="333333"/>
          <w:sz w:val="19"/>
        </w:rPr>
        <w:t>改革开放先内后外 + 渐进式改革</w:t>
      </w:r>
    </w:p>
    <w:p>
      <w:pPr>
        <w:pStyle w:val="Heading2"/>
      </w:pPr>
      <w:r>
        <w:t>答题套路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近代经济题：梳理前因后果，不要泛泛而谈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制度分析题：套诺斯悖论双重目标框架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比较题：先发vs后发、斯密vs李斯特 → 根源是初始约束条件</w:t>
      </w:r>
    </w:p>
    <w:p>
      <w:pPr>
        <w:spacing w:after="40"/>
        <w:ind w:left="320" w:hanging="160"/>
      </w:pPr>
      <w:r>
        <w:rPr>
          <w:color w:val="b85c00"/>
          <w:sz w:val="18"/>
        </w:rPr>
        <w:t xml:space="preserve">• </w:t>
      </w:r>
      <w:r>
        <w:rPr>
          <w:sz w:val="19"/>
        </w:rPr>
        <w:t>产业升级题：规模→质量、要素→创新、低端→微笑曲线两端</w:t>
      </w:r>
    </w:p>
    <w:sectPr>
      <w:headerReference w:type="default" r:id="Rbb2b86c6363b48bb"/>
      <w:footerReference w:type="default" r:id="R221d6d891371441f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>
      <w:rPr>
        <w:color w:val="888888"/>
        <w:sz w:val="16"/>
      </w:rP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888888"/>
        <w:sz w:val="16"/>
      </w:rPr>
      <w:t>经济史复习指南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60" w:line="320" w:lineRule="auto"/>
    </w:pPr>
    <w:rPr>
      <w:rFonts w:ascii="Calibri" w:hAnsi="Calibri" w:eastAsia="Microsoft YaHei"/>
      <w:color w:val="333333"/>
      <w:sz w:val="20"/>
    </w:rPr>
  </w:style>
  <w:style w:type="paragraph" w:styleId="Heading1">
    <w:name w:val="heading 1"/>
    <w:basedOn w:val="Normal"/>
    <w:pPr>
      <w:keepNext/>
      <w:keepLines/>
      <w:spacing w:before="400" w:after="160"/>
      <w:outlineLvl w:val="0"/>
    </w:pPr>
    <w:rPr>
      <w:rFonts w:ascii="Calibri" w:hAnsi="Calibri" w:eastAsia="Microsoft YaHei"/>
      <w:b/>
      <w:color w:val="1a1a1a"/>
      <w:sz w:val="30"/>
    </w:rPr>
  </w:style>
  <w:style w:type="paragraph" w:styleId="Heading2">
    <w:name w:val="heading 2"/>
    <w:basedOn w:val="Normal"/>
    <w:pPr>
      <w:keepNext/>
      <w:keepLines/>
      <w:spacing w:before="240" w:after="100"/>
      <w:outlineLvl w:val="1"/>
    </w:pPr>
    <w:rPr>
      <w:rFonts w:ascii="Calibri" w:hAnsi="Calibri" w:eastAsia="Microsoft YaHei"/>
      <w:b/>
      <w:color w:val="444444"/>
      <w:sz w:val="22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2f8032ca7ac40ab" /><Relationship Type="http://schemas.openxmlformats.org/officeDocument/2006/relationships/header" Target="header1.xml" Id="Rbb2b86c6363b48bb" /><Relationship Type="http://schemas.openxmlformats.org/officeDocument/2006/relationships/footer" Target="footer1.xml" Id="R221d6d891371441f" /><Relationship Type="http://schemas.openxmlformats.org/officeDocument/2006/relationships/settings" Target="settings.xml" Id="Rcb601acaefe641ca" /></Relationships>
</file>