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0A5" w:rsidRPr="00932394" w:rsidRDefault="00FA00A5" w:rsidP="00FA00A5">
      <w:pPr>
        <w:ind w:left="360" w:hanging="360"/>
        <w:jc w:val="both"/>
      </w:pPr>
      <w:bookmarkStart w:id="0" w:name="_GoBack"/>
      <w:bookmarkEnd w:id="0"/>
      <w:r w:rsidRPr="00932394">
        <w:rPr>
          <w:b/>
        </w:rPr>
        <w:t>Gab</w:t>
      </w:r>
      <w:r w:rsidRPr="00932394">
        <w:t xml:space="preserve">: </w:t>
      </w:r>
    </w:p>
    <w:p w:rsidR="00FA00A5" w:rsidRPr="00932394" w:rsidRDefault="00FA00A5" w:rsidP="00FA00A5">
      <w:pPr>
        <w:ind w:left="720" w:hanging="360"/>
        <w:jc w:val="both"/>
      </w:pPr>
      <w:r w:rsidRPr="00932394">
        <w:t>a)</w:t>
      </w:r>
      <w:r w:rsidRPr="00932394">
        <w:tab/>
        <w:t xml:space="preserve">Transição </w:t>
      </w:r>
      <w:r w:rsidRPr="00932394">
        <w:rPr>
          <w:position w:val="-10"/>
        </w:rPr>
        <w:object w:dxaOrig="10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1pt;height:13.95pt" o:ole="">
            <v:imagedata r:id="rId4" o:title=""/>
          </v:shape>
          <o:OLEObject Type="Embed" ProgID="Equation.3" ShapeID="_x0000_i1025" DrawAspect="Content" ObjectID="_1536350640" r:id="rId5"/>
        </w:object>
      </w:r>
    </w:p>
    <w:p w:rsidR="00FA00A5" w:rsidRPr="00932394" w:rsidRDefault="00FA00A5" w:rsidP="00FA00A5">
      <w:pPr>
        <w:ind w:left="720" w:hanging="12"/>
        <w:jc w:val="both"/>
      </w:pPr>
      <w:r w:rsidRPr="00932394">
        <w:rPr>
          <w:position w:val="-10"/>
        </w:rPr>
        <w:object w:dxaOrig="859" w:dyaOrig="279">
          <v:shape id="_x0000_i1026" type="#_x0000_t75" style="width:42.75pt;height:13.95pt" o:ole="">
            <v:imagedata r:id="rId6" o:title=""/>
          </v:shape>
          <o:OLEObject Type="Embed" ProgID="Equation.3" ShapeID="_x0000_i1026" DrawAspect="Content" ObjectID="_1536350641" r:id="rId7"/>
        </w:object>
      </w:r>
    </w:p>
    <w:p w:rsidR="00FA00A5" w:rsidRPr="00932394" w:rsidRDefault="00FA00A5" w:rsidP="00FA00A5">
      <w:pPr>
        <w:ind w:left="720" w:hanging="12"/>
        <w:jc w:val="both"/>
      </w:pPr>
      <w:r w:rsidRPr="00932394">
        <w:t xml:space="preserve">Logo </w:t>
      </w:r>
      <w:r w:rsidRPr="00932394">
        <w:rPr>
          <w:position w:val="-10"/>
        </w:rPr>
        <w:object w:dxaOrig="2380" w:dyaOrig="279">
          <v:shape id="_x0000_i1027" type="#_x0000_t75" style="width:118.9pt;height:13.95pt" o:ole="">
            <v:imagedata r:id="rId8" o:title=""/>
          </v:shape>
          <o:OLEObject Type="Embed" ProgID="Equation.3" ShapeID="_x0000_i1027" DrawAspect="Content" ObjectID="_1536350642" r:id="rId9"/>
        </w:object>
      </w:r>
      <w:r w:rsidRPr="00932394">
        <w:rPr>
          <w:position w:val="-10"/>
        </w:rPr>
        <w:object w:dxaOrig="2680" w:dyaOrig="340">
          <v:shape id="_x0000_i1028" type="#_x0000_t75" style="width:133.8pt;height:17.2pt" o:ole="">
            <v:imagedata r:id="rId10" o:title=""/>
          </v:shape>
          <o:OLEObject Type="Embed" ProgID="Equation.3" ShapeID="_x0000_i1028" DrawAspect="Content" ObjectID="_1536350643" r:id="rId11"/>
        </w:object>
      </w:r>
      <w:r w:rsidRPr="00932394">
        <w:rPr>
          <w:position w:val="-8"/>
        </w:rPr>
        <w:object w:dxaOrig="1140" w:dyaOrig="320">
          <v:shape id="_x0000_i1029" type="#_x0000_t75" style="width:57.15pt;height:15.8pt" o:ole="">
            <v:imagedata r:id="rId12" o:title=""/>
          </v:shape>
          <o:OLEObject Type="Embed" ProgID="Equation.3" ShapeID="_x0000_i1029" DrawAspect="Content" ObjectID="_1536350644" r:id="rId13"/>
        </w:object>
      </w:r>
    </w:p>
    <w:p w:rsidR="00FA00A5" w:rsidRPr="00932394" w:rsidRDefault="00FA00A5" w:rsidP="00FA00A5">
      <w:pPr>
        <w:ind w:left="720" w:hanging="12"/>
        <w:jc w:val="both"/>
      </w:pPr>
      <w:r w:rsidRPr="00932394">
        <w:t xml:space="preserve">O processo mais comum é a absorção de um fóton com energia </w:t>
      </w:r>
      <w:r w:rsidRPr="00932394">
        <w:rPr>
          <w:position w:val="-10"/>
        </w:rPr>
        <w:object w:dxaOrig="1400" w:dyaOrig="279">
          <v:shape id="_x0000_i1030" type="#_x0000_t75" style="width:70.15pt;height:13.95pt" o:ole="">
            <v:imagedata r:id="rId14" o:title=""/>
          </v:shape>
          <o:OLEObject Type="Embed" ProgID="Equation.3" ShapeID="_x0000_i1030" DrawAspect="Content" ObjectID="_1536350645" r:id="rId15"/>
        </w:object>
      </w:r>
      <w:r w:rsidRPr="00932394">
        <w:t xml:space="preserve">, sendo </w:t>
      </w:r>
      <w:r w:rsidRPr="00932394">
        <w:rPr>
          <w:i/>
        </w:rPr>
        <w:t>v</w:t>
      </w:r>
      <w:r w:rsidRPr="00932394">
        <w:t xml:space="preserve"> a freqüência do fóton. Essa mesma energia pode ser transmitida ao átomo por meio de colisões entre partículas.</w:t>
      </w:r>
    </w:p>
    <w:p w:rsidR="00FA00A5" w:rsidRPr="00932394" w:rsidRDefault="00FA00A5" w:rsidP="00FA00A5">
      <w:pPr>
        <w:ind w:left="720" w:hanging="360"/>
        <w:jc w:val="both"/>
      </w:pPr>
      <w:r w:rsidRPr="00932394">
        <w:t>b)</w:t>
      </w:r>
      <w:r w:rsidRPr="00932394">
        <w:tab/>
      </w:r>
      <w:r w:rsidRPr="00932394">
        <w:rPr>
          <w:position w:val="-4"/>
        </w:rPr>
        <w:object w:dxaOrig="440" w:dyaOrig="180">
          <v:shape id="_x0000_i1031" type="#_x0000_t75" style="width:21.85pt;height:8.85pt" o:ole="">
            <v:imagedata r:id="rId16" o:title=""/>
          </v:shape>
          <o:OLEObject Type="Embed" ProgID="Equation.3" ShapeID="_x0000_i1031" DrawAspect="Content" ObjectID="_1536350646" r:id="rId17"/>
        </w:object>
      </w:r>
      <w:r w:rsidRPr="00932394">
        <w:t xml:space="preserve"> representa o estado no qual o elétron está livre. Sim. Um elétron livre tem energia </w:t>
      </w:r>
      <w:r w:rsidRPr="00932394">
        <w:rPr>
          <w:position w:val="-6"/>
        </w:rPr>
        <w:object w:dxaOrig="460" w:dyaOrig="240">
          <v:shape id="_x0000_i1032" type="#_x0000_t75" style="width:23.25pt;height:12.1pt" o:ole="">
            <v:imagedata r:id="rId18" o:title=""/>
          </v:shape>
          <o:OLEObject Type="Embed" ProgID="Equation.3" ShapeID="_x0000_i1032" DrawAspect="Content" ObjectID="_1536350647" r:id="rId19"/>
        </w:object>
      </w:r>
      <w:r w:rsidRPr="00932394">
        <w:t xml:space="preserve">. </w:t>
      </w:r>
    </w:p>
    <w:p w:rsidR="00302BE2" w:rsidRPr="00FA00A5" w:rsidRDefault="00302BE2" w:rsidP="00FA00A5"/>
    <w:sectPr w:rsidR="00302BE2" w:rsidRPr="00FA00A5" w:rsidSect="00FA0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00A5"/>
    <w:rsid w:val="00045647"/>
    <w:rsid w:val="001773BC"/>
    <w:rsid w:val="0023395C"/>
    <w:rsid w:val="00302BE2"/>
    <w:rsid w:val="00D969A5"/>
    <w:rsid w:val="00F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C71CB-09B0-4BDF-A9DC-F7743B44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