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F9" w:rsidRDefault="006967F9" w:rsidP="006967F9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6967F9" w:rsidRDefault="006967F9" w:rsidP="006967F9">
      <w:pPr>
        <w:ind w:left="360"/>
        <w:jc w:val="both"/>
      </w:pPr>
      <w:r>
        <w:t>Os diagramas abaixo são as opções para as trajetórias de três feixes: de nêutrons (n), múons negativos (</w:t>
      </w:r>
      <w:r>
        <w:sym w:font="Symbol" w:char="F06D"/>
      </w:r>
      <w:r>
        <w:rPr>
          <w:vertAlign w:val="superscript"/>
        </w:rPr>
        <w:t>-</w:t>
      </w:r>
      <w:r>
        <w:t>) e elétrons (e). Estes, a princípio, compunham um único feixe que penetrou em dada região, perpendicularmente a um campo elétrico constante (</w:t>
      </w:r>
      <w:r>
        <w:rPr>
          <w:position w:val="-4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.95pt" o:ole="">
            <v:imagedata r:id="rId4" o:title=""/>
          </v:shape>
          <o:OLEObject Type="Embed" ProgID="Equation.3" ShapeID="_x0000_i1025" DrawAspect="Content" ObjectID="_1536350910" r:id="rId5"/>
        </w:object>
      </w:r>
      <w:r>
        <w:t xml:space="preserve">). A massa do múon é cerca de 207 vezes maior que a do elétron e a carga de ambos e a mesma. </w:t>
      </w:r>
    </w:p>
    <w:p w:rsidR="006967F9" w:rsidRDefault="006967F9" w:rsidP="006967F9">
      <w:pPr>
        <w:ind w:left="360" w:hanging="360"/>
        <w:jc w:val="both"/>
      </w:pPr>
    </w:p>
    <w:p w:rsidR="006967F9" w:rsidRDefault="006967F9" w:rsidP="006967F9">
      <w:pPr>
        <w:ind w:left="360" w:hanging="360"/>
        <w:jc w:val="center"/>
      </w:pPr>
      <w:r>
        <w:object w:dxaOrig="1342" w:dyaOrig="2457">
          <v:shape id="_x0000_i1026" type="#_x0000_t75" style="width:66.9pt;height:122.65pt" o:ole="">
            <v:imagedata r:id="rId6" o:title=""/>
          </v:shape>
          <o:OLEObject Type="Embed" ProgID="CorelDraw.Graphic.9" ShapeID="_x0000_i1026" DrawAspect="Content" ObjectID="_1536350911" r:id="rId7"/>
        </w:object>
      </w:r>
      <w:r>
        <w:t xml:space="preserve">  </w:t>
      </w:r>
      <w:r>
        <w:object w:dxaOrig="1331" w:dyaOrig="2457">
          <v:shape id="_x0000_i1027" type="#_x0000_t75" style="width:66.45pt;height:122.65pt" o:ole="">
            <v:imagedata r:id="rId8" o:title=""/>
          </v:shape>
          <o:OLEObject Type="Embed" ProgID="CorelDraw.Graphic.9" ShapeID="_x0000_i1027" DrawAspect="Content" ObjectID="_1536350912" r:id="rId9"/>
        </w:object>
      </w:r>
      <w:r>
        <w:t xml:space="preserve">   </w:t>
      </w:r>
      <w:r>
        <w:object w:dxaOrig="819" w:dyaOrig="2459">
          <v:shape id="_x0000_i1028" type="#_x0000_t75" style="width:40.9pt;height:123.1pt" o:ole="">
            <v:imagedata r:id="rId10" o:title=""/>
          </v:shape>
          <o:OLEObject Type="Embed" ProgID="CorelDraw.Graphic.9" ShapeID="_x0000_i1028" DrawAspect="Content" ObjectID="_1536350913" r:id="rId11"/>
        </w:object>
      </w:r>
      <w:r>
        <w:t xml:space="preserve">   </w:t>
      </w:r>
      <w:r>
        <w:object w:dxaOrig="838" w:dyaOrig="2457">
          <v:shape id="_x0000_i1029" type="#_x0000_t75" style="width:41.8pt;height:122.65pt" o:ole="">
            <v:imagedata r:id="rId12" o:title=""/>
          </v:shape>
          <o:OLEObject Type="Embed" ProgID="CorelDraw.Graphic.9" ShapeID="_x0000_i1029" DrawAspect="Content" ObjectID="_1536350914" r:id="rId13"/>
        </w:object>
      </w:r>
    </w:p>
    <w:p w:rsidR="006967F9" w:rsidRDefault="006967F9" w:rsidP="006967F9">
      <w:pPr>
        <w:ind w:left="360" w:hanging="360"/>
        <w:jc w:val="both"/>
      </w:pPr>
    </w:p>
    <w:p w:rsidR="006967F9" w:rsidRDefault="006967F9" w:rsidP="006967F9">
      <w:pPr>
        <w:ind w:left="360"/>
        <w:jc w:val="both"/>
      </w:pPr>
      <w:r>
        <w:t>Nessas circunstâncias, o diagrama que melhor representa as trajetórias dos feixes é o de número:</w:t>
      </w:r>
    </w:p>
    <w:p w:rsidR="006967F9" w:rsidRPr="007C76EF" w:rsidRDefault="006967F9" w:rsidP="006967F9">
      <w:pPr>
        <w:ind w:left="720" w:hanging="360"/>
        <w:jc w:val="both"/>
      </w:pPr>
      <w:r w:rsidRPr="007C76EF">
        <w:rPr>
          <w:bCs/>
        </w:rPr>
        <w:t>a)</w:t>
      </w:r>
      <w:r w:rsidRPr="007C76EF">
        <w:rPr>
          <w:bCs/>
        </w:rPr>
        <w:tab/>
      </w:r>
      <w:r w:rsidRPr="007C76EF">
        <w:t>1</w:t>
      </w:r>
    </w:p>
    <w:p w:rsidR="006967F9" w:rsidRPr="007C76EF" w:rsidRDefault="006967F9" w:rsidP="006967F9">
      <w:pPr>
        <w:ind w:left="720" w:hanging="360"/>
        <w:jc w:val="both"/>
      </w:pPr>
      <w:r w:rsidRPr="007C76EF">
        <w:rPr>
          <w:bCs/>
        </w:rPr>
        <w:t>b)</w:t>
      </w:r>
      <w:r w:rsidRPr="007C76EF">
        <w:rPr>
          <w:bCs/>
        </w:rPr>
        <w:tab/>
      </w:r>
      <w:r w:rsidRPr="007C76EF">
        <w:t>2</w:t>
      </w:r>
    </w:p>
    <w:p w:rsidR="006967F9" w:rsidRPr="007C76EF" w:rsidRDefault="006967F9" w:rsidP="006967F9">
      <w:pPr>
        <w:ind w:left="720" w:hanging="360"/>
        <w:jc w:val="both"/>
      </w:pPr>
      <w:r w:rsidRPr="007C76EF">
        <w:rPr>
          <w:bCs/>
        </w:rPr>
        <w:t>c)</w:t>
      </w:r>
      <w:r w:rsidRPr="007C76EF">
        <w:rPr>
          <w:bCs/>
        </w:rPr>
        <w:tab/>
      </w:r>
      <w:r w:rsidRPr="007C76EF">
        <w:t>3</w:t>
      </w:r>
    </w:p>
    <w:p w:rsidR="006967F9" w:rsidRDefault="006967F9" w:rsidP="006967F9">
      <w:pPr>
        <w:ind w:left="720" w:hanging="360"/>
        <w:jc w:val="both"/>
      </w:pPr>
      <w:r w:rsidRPr="007C76EF">
        <w:rPr>
          <w:bCs/>
        </w:rPr>
        <w:t>d)</w:t>
      </w:r>
      <w:r w:rsidRPr="007C76EF">
        <w:rPr>
          <w:bCs/>
        </w:rPr>
        <w:tab/>
      </w:r>
      <w:r w:rsidRPr="007C76EF">
        <w:t>4</w:t>
      </w:r>
    </w:p>
    <w:p w:rsidR="00302BE2" w:rsidRPr="006967F9" w:rsidRDefault="00302BE2" w:rsidP="006967F9"/>
    <w:sectPr w:rsidR="00302BE2" w:rsidRPr="006967F9" w:rsidSect="0069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7F9"/>
    <w:rsid w:val="001773BC"/>
    <w:rsid w:val="0023395C"/>
    <w:rsid w:val="00236FA3"/>
    <w:rsid w:val="00302BE2"/>
    <w:rsid w:val="006967F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15A14-9327-4D25-A07F-FADBBD19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