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B52" w:rsidRDefault="00875B52" w:rsidP="00875B52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875B52" w:rsidRDefault="00875B52" w:rsidP="00875B52">
      <w:pPr>
        <w:ind w:left="360"/>
        <w:jc w:val="both"/>
      </w:pPr>
      <w:r>
        <w:t>Até o final do século XIX, as teorias e os modelos em Física usados na descrição dos fenômenos atômicos e moleculares tinham como base a mecânica de Newton, que vinha acompanhada, muitas vezes, de informações totalmente empíricas.</w:t>
      </w:r>
    </w:p>
    <w:p w:rsidR="00875B52" w:rsidRDefault="00875B52" w:rsidP="00875B52">
      <w:pPr>
        <w:ind w:left="360"/>
        <w:jc w:val="both"/>
      </w:pPr>
      <w:r>
        <w:t>No início do século XX, ocorreu uma revolução na física dos átomos e moléculas, conhecida como Física Quântica. Infelizmente, as formulações matemáticas para a teoria quântica são tão complexas que inviabilizam a sua aplicação em sistemas macromoleculares biológicos. Acredita-se que não haja perspectiva alguma de, nas próximas décadas, se resolver computacionalmente as equações da Física Quântica associadas a tais sistemas moleculares sem o desenvolvimento de novos tipos de computadores e de novas técnicas computacionais. Essas dificuldades levaram os pesquisadores a voltarem as suas atenções aos modelos newtonianos clássicos do século XIX. Nesses modelos, os átomos são tratados como pontos materiais e as ligações químicas entre átomos – interações atômicas – são representadas por molas ideais. A separação linear entre os átomos em uma ligação está representada na figura I, enquanto variações angulares que também ocorrem são representadas na figura II.</w:t>
      </w:r>
    </w:p>
    <w:p w:rsidR="00875B52" w:rsidRDefault="00875B52" w:rsidP="00875B52">
      <w:pPr>
        <w:ind w:left="360" w:hanging="360"/>
        <w:jc w:val="both"/>
      </w:pPr>
    </w:p>
    <w:p w:rsidR="00875B52" w:rsidRDefault="00875B52" w:rsidP="00875B52">
      <w:pPr>
        <w:ind w:left="360" w:hanging="360"/>
        <w:jc w:val="center"/>
      </w:pPr>
      <w:r>
        <w:object w:dxaOrig="2427" w:dyaOrig="1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25pt;height:67.8pt" o:ole="">
            <v:imagedata r:id="rId4" o:title=""/>
          </v:shape>
          <o:OLEObject Type="Embed" ProgID="CorelDraw.Graphic.9" ShapeID="_x0000_i1025" DrawAspect="Content" ObjectID="_1536350957" r:id="rId5"/>
        </w:object>
      </w:r>
      <w:r>
        <w:t xml:space="preserve">    </w:t>
      </w:r>
      <w:r>
        <w:object w:dxaOrig="2469" w:dyaOrig="2465">
          <v:shape id="_x0000_i1026" type="#_x0000_t75" style="width:123.55pt;height:123.1pt" o:ole="">
            <v:imagedata r:id="rId6" o:title=""/>
          </v:shape>
          <o:OLEObject Type="Embed" ProgID="CorelDraw.Graphic.9" ShapeID="_x0000_i1026" DrawAspect="Content" ObjectID="_1536350958" r:id="rId7"/>
        </w:object>
      </w:r>
    </w:p>
    <w:p w:rsidR="00875B52" w:rsidRDefault="00875B52" w:rsidP="00875B52">
      <w:pPr>
        <w:ind w:left="360" w:hanging="360"/>
        <w:jc w:val="both"/>
      </w:pPr>
    </w:p>
    <w:p w:rsidR="00875B52" w:rsidRDefault="00875B52" w:rsidP="00875B52">
      <w:pPr>
        <w:ind w:left="360"/>
        <w:jc w:val="both"/>
      </w:pPr>
      <w:r>
        <w:t>Com base nas informações do texto acima, julgue os seguintes itens.</w:t>
      </w:r>
    </w:p>
    <w:p w:rsidR="00875B52" w:rsidRPr="005D04E6" w:rsidRDefault="00875B52" w:rsidP="00875B52">
      <w:pPr>
        <w:ind w:left="720" w:hanging="360"/>
        <w:jc w:val="both"/>
      </w:pPr>
      <w:r w:rsidRPr="005D04E6">
        <w:rPr>
          <w:bCs/>
        </w:rPr>
        <w:t>01.</w:t>
      </w:r>
      <w:r w:rsidRPr="005D04E6">
        <w:rPr>
          <w:bCs/>
        </w:rPr>
        <w:tab/>
      </w:r>
      <w:r w:rsidRPr="005D04E6">
        <w:t>Nos modelos newtonianos clássicos aplicados ao caso da figura I, a constante elástica da mola poderia estar associada à intensidade da ligação química.</w:t>
      </w:r>
    </w:p>
    <w:p w:rsidR="00875B52" w:rsidRPr="005D04E6" w:rsidRDefault="00875B52" w:rsidP="00875B52">
      <w:pPr>
        <w:ind w:left="720" w:hanging="360"/>
        <w:jc w:val="both"/>
      </w:pPr>
      <w:r w:rsidRPr="005D04E6">
        <w:rPr>
          <w:bCs/>
        </w:rPr>
        <w:t>02.</w:t>
      </w:r>
      <w:r w:rsidRPr="005D04E6">
        <w:rPr>
          <w:bCs/>
        </w:rPr>
        <w:tab/>
      </w:r>
      <w:r w:rsidRPr="005D04E6">
        <w:t>As forças em cada átomo relativas às interações ilustradas nas figuras I e II são sempre repulsivas.</w:t>
      </w:r>
    </w:p>
    <w:p w:rsidR="00875B52" w:rsidRPr="005D04E6" w:rsidRDefault="00875B52" w:rsidP="00875B52">
      <w:pPr>
        <w:ind w:left="720" w:hanging="360"/>
        <w:jc w:val="both"/>
      </w:pPr>
      <w:r w:rsidRPr="005D04E6">
        <w:rPr>
          <w:bCs/>
        </w:rPr>
        <w:t>03.</w:t>
      </w:r>
      <w:r w:rsidRPr="005D04E6">
        <w:rPr>
          <w:bCs/>
        </w:rPr>
        <w:tab/>
      </w:r>
      <w:r w:rsidRPr="005D04E6">
        <w:t>O texto permite concluir que, hoje, os métodos computacionais aplicados à teoria quântica são inviáveis no estudo de moléculas importantes como o DNA.</w:t>
      </w:r>
    </w:p>
    <w:p w:rsidR="00875B52" w:rsidRDefault="00875B52" w:rsidP="00875B52">
      <w:pPr>
        <w:ind w:left="720" w:hanging="360"/>
        <w:jc w:val="both"/>
      </w:pPr>
      <w:r w:rsidRPr="005D04E6">
        <w:rPr>
          <w:bCs/>
        </w:rPr>
        <w:t>04.</w:t>
      </w:r>
      <w:r w:rsidRPr="005D04E6">
        <w:rPr>
          <w:bCs/>
        </w:rPr>
        <w:tab/>
      </w:r>
      <w:r w:rsidRPr="005D04E6">
        <w:t xml:space="preserve">a energia potencial na ligação representada na figura II pode ser descrita por </w:t>
      </w:r>
      <w:r w:rsidRPr="005D04E6">
        <w:rPr>
          <w:position w:val="-16"/>
        </w:rPr>
        <w:object w:dxaOrig="200" w:dyaOrig="400">
          <v:shape id="_x0000_i1027" type="#_x0000_t75" style="width:10.2pt;height:19.95pt" o:ole="">
            <v:imagedata r:id="rId8" o:title=""/>
          </v:shape>
          <o:OLEObject Type="Embed" ProgID="Equation.3" ShapeID="_x0000_i1027" DrawAspect="Content" ObjectID="_1536350959" r:id="rId9"/>
        </w:object>
      </w:r>
      <w:r w:rsidRPr="005D04E6">
        <w:t>k</w:t>
      </w:r>
      <w:r w:rsidRPr="005D04E6">
        <w:rPr>
          <w:vertAlign w:val="subscript"/>
        </w:rPr>
        <w:sym w:font="Symbol" w:char="F071"/>
      </w:r>
      <w:r w:rsidRPr="005D04E6">
        <w:t>(</w:t>
      </w:r>
      <w:r w:rsidRPr="005D04E6">
        <w:sym w:font="Symbol" w:char="F071"/>
      </w:r>
      <w:r w:rsidRPr="005D04E6">
        <w:t xml:space="preserve"> - </w:t>
      </w:r>
      <w:r w:rsidRPr="005D04E6">
        <w:sym w:font="Symbol" w:char="F071"/>
      </w:r>
      <w:r w:rsidRPr="005D04E6">
        <w:rPr>
          <w:vertAlign w:val="subscript"/>
        </w:rPr>
        <w:t>o</w:t>
      </w:r>
      <w:r w:rsidRPr="005D04E6">
        <w:t>)</w:t>
      </w:r>
      <w:r w:rsidRPr="005D04E6">
        <w:rPr>
          <w:vertAlign w:val="superscript"/>
        </w:rPr>
        <w:t>2</w:t>
      </w:r>
      <w:r w:rsidRPr="005D04E6">
        <w:t xml:space="preserve">, em que </w:t>
      </w:r>
      <w:r w:rsidRPr="005D04E6">
        <w:sym w:font="Symbol" w:char="F071"/>
      </w:r>
      <w:r w:rsidRPr="005D04E6">
        <w:rPr>
          <w:vertAlign w:val="subscript"/>
        </w:rPr>
        <w:t>o</w:t>
      </w:r>
      <w:r w:rsidRPr="005D04E6">
        <w:t xml:space="preserve"> é o ângulo de equilíbrio entre os átomos da molécula mostrada e k</w:t>
      </w:r>
      <w:r w:rsidRPr="005D04E6">
        <w:rPr>
          <w:vertAlign w:val="subscript"/>
        </w:rPr>
        <w:sym w:font="Symbol" w:char="F071"/>
      </w:r>
      <w:r w:rsidRPr="005D04E6">
        <w:t xml:space="preserve"> é uma constante associada à elasticidade da mola.</w:t>
      </w:r>
    </w:p>
    <w:p w:rsidR="00302BE2" w:rsidRPr="00875B52" w:rsidRDefault="00302BE2" w:rsidP="00875B52"/>
    <w:sectPr w:rsidR="00302BE2" w:rsidRPr="00875B52" w:rsidSect="00875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5B52"/>
    <w:rsid w:val="001773BC"/>
    <w:rsid w:val="0023395C"/>
    <w:rsid w:val="00302BE2"/>
    <w:rsid w:val="00875B52"/>
    <w:rsid w:val="008E1AC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161CC-FDEE-4CDC-BB83-763F39F4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