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D0" w:rsidRDefault="00DC05D0" w:rsidP="00DC05D0">
      <w:pPr>
        <w:autoSpaceDE w:val="0"/>
        <w:autoSpaceDN w:val="0"/>
        <w:adjustRightInd w:val="0"/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C05D0" w:rsidRDefault="00DC05D0" w:rsidP="00DC05D0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>A descoberta da radioatividade foi um dos grandes feitos científicos dos tempos modernos. Ela causou tamanho impacto na ciência e na tecnologia que a cientista polonesa Marie Curie foi a primeira pessoa a ganhar dois prêmios Nobel. Uma importante aplicação do trabalho dessa cientista, o decaimento radioativo dos núcleos atômicos, é a datação de fósseis e artefatos feitos de matéria orgânica. Os seres vivos são essencialmente feitos de carbono e, enquanto vivos, carregam em si quantidades de carbono radioativo (</w:t>
      </w:r>
      <w:smartTag w:uri="urn:schemas-microsoft-com:office:smarttags" w:element="metricconverter">
        <w:smartTagPr>
          <w:attr w:name="ProductID" w:val="14C"/>
        </w:smartTagPr>
        <w:r>
          <w:rPr>
            <w:szCs w:val="22"/>
            <w:vertAlign w:val="superscript"/>
          </w:rPr>
          <w:t>14</w:t>
        </w:r>
        <w:r>
          <w:t>C</w:t>
        </w:r>
      </w:smartTag>
      <w:r>
        <w:rPr>
          <w:szCs w:val="22"/>
        </w:rPr>
        <w:t>) e carbono estável (</w:t>
      </w:r>
      <w:smartTag w:uri="urn:schemas-microsoft-com:office:smarttags" w:element="metricconverter">
        <w:smartTagPr>
          <w:attr w:name="ProductID" w:val="12C"/>
        </w:smartTagPr>
        <w:r>
          <w:rPr>
            <w:szCs w:val="22"/>
            <w:vertAlign w:val="superscript"/>
          </w:rPr>
          <w:t>12</w:t>
        </w:r>
        <w:r>
          <w:t>C</w:t>
        </w:r>
      </w:smartTag>
      <w:r>
        <w:rPr>
          <w:szCs w:val="22"/>
        </w:rPr>
        <w:t xml:space="preserve">), numa proporção fixa. Quando um animal ou planta morre, o </w:t>
      </w:r>
      <w:smartTag w:uri="urn:schemas-microsoft-com:office:smarttags" w:element="metricconverter">
        <w:smartTagPr>
          <w:attr w:name="ProductID" w:val="14C"/>
        </w:smartTagPr>
        <w:r>
          <w:rPr>
            <w:szCs w:val="22"/>
            <w:vertAlign w:val="superscript"/>
          </w:rPr>
          <w:t>14</w:t>
        </w:r>
        <w:r>
          <w:t>C</w:t>
        </w:r>
      </w:smartTag>
      <w:r>
        <w:rPr>
          <w:szCs w:val="14"/>
        </w:rPr>
        <w:t xml:space="preserve"> </w:t>
      </w:r>
      <w:r>
        <w:rPr>
          <w:szCs w:val="22"/>
        </w:rPr>
        <w:t xml:space="preserve">começa a decair em </w:t>
      </w:r>
      <w:smartTag w:uri="urn:schemas-microsoft-com:office:smarttags" w:element="metricconverter">
        <w:smartTagPr>
          <w:attr w:name="ProductID" w:val="12C"/>
        </w:smartTagPr>
        <w:r>
          <w:rPr>
            <w:szCs w:val="22"/>
            <w:vertAlign w:val="superscript"/>
          </w:rPr>
          <w:t>12</w:t>
        </w:r>
        <w:r>
          <w:t>C</w:t>
        </w:r>
      </w:smartTag>
      <w:r>
        <w:rPr>
          <w:szCs w:val="22"/>
        </w:rPr>
        <w:t>, fazendo a proporção entre os dois isótopos variar ao longo do tempo. A equação que governa esse processo, juntamente com alguns dados numéricos, são mostrados no quadro abaixo.</w:t>
      </w:r>
    </w:p>
    <w:p w:rsidR="00DC05D0" w:rsidRDefault="00DC05D0" w:rsidP="00DC05D0">
      <w:pPr>
        <w:autoSpaceDE w:val="0"/>
        <w:autoSpaceDN w:val="0"/>
        <w:adjustRightInd w:val="0"/>
        <w:ind w:left="360" w:hanging="360"/>
        <w:jc w:val="both"/>
      </w:pPr>
    </w:p>
    <w:p w:rsidR="00DC05D0" w:rsidRDefault="00DC05D0" w:rsidP="00DC05D0">
      <w:pPr>
        <w:autoSpaceDE w:val="0"/>
        <w:autoSpaceDN w:val="0"/>
        <w:adjustRightInd w:val="0"/>
        <w:ind w:left="720" w:hanging="360"/>
        <w:jc w:val="both"/>
      </w:pPr>
      <w:r>
        <w:t>N = N</w:t>
      </w:r>
      <w:r>
        <w:rPr>
          <w:szCs w:val="16"/>
          <w:vertAlign w:val="subscript"/>
        </w:rPr>
        <w:t>0</w:t>
      </w:r>
      <w:r>
        <w:rPr>
          <w:szCs w:val="16"/>
        </w:rPr>
        <w:t xml:space="preserve"> </w:t>
      </w:r>
      <w:r>
        <w:t>e</w:t>
      </w:r>
      <w:r>
        <w:rPr>
          <w:vertAlign w:val="superscript"/>
        </w:rPr>
        <w:t>–</w:t>
      </w:r>
      <w:r>
        <w:rPr>
          <w:szCs w:val="16"/>
          <w:vertAlign w:val="superscript"/>
        </w:rPr>
        <w:t>at</w:t>
      </w:r>
      <w:r>
        <w:rPr>
          <w:szCs w:val="16"/>
        </w:rPr>
        <w:t xml:space="preserve">                </w:t>
      </w:r>
      <w:r>
        <w:t>N</w:t>
      </w:r>
      <w:r>
        <w:rPr>
          <w:szCs w:val="16"/>
          <w:vertAlign w:val="subscript"/>
        </w:rPr>
        <w:t>0</w:t>
      </w:r>
      <w:r>
        <w:rPr>
          <w:szCs w:val="22"/>
        </w:rPr>
        <w:t xml:space="preserve">: quantidade de núcleos no tempo </w:t>
      </w:r>
      <w:r>
        <w:t>t=0</w:t>
      </w:r>
    </w:p>
    <w:p w:rsidR="00DC05D0" w:rsidRDefault="00DC05D0" w:rsidP="00DC05D0">
      <w:pPr>
        <w:autoSpaceDE w:val="0"/>
        <w:autoSpaceDN w:val="0"/>
        <w:adjustRightInd w:val="0"/>
        <w:ind w:left="720" w:hanging="360"/>
        <w:jc w:val="both"/>
      </w:pPr>
      <w:r>
        <w:t xml:space="preserve">a =1,2 </w:t>
      </w:r>
      <w:r>
        <w:sym w:font="Symbol" w:char="F0B4"/>
      </w:r>
      <w:r>
        <w:t xml:space="preserve"> 10</w:t>
      </w:r>
      <w:r>
        <w:rPr>
          <w:vertAlign w:val="superscript"/>
        </w:rPr>
        <w:t>–</w:t>
      </w:r>
      <w:r>
        <w:rPr>
          <w:szCs w:val="16"/>
          <w:vertAlign w:val="superscript"/>
        </w:rPr>
        <w:t>4</w:t>
      </w:r>
      <w:r>
        <w:rPr>
          <w:szCs w:val="16"/>
        </w:rPr>
        <w:t xml:space="preserve"> </w:t>
      </w:r>
      <w:r>
        <w:t>ano</w:t>
      </w:r>
      <w:r>
        <w:rPr>
          <w:vertAlign w:val="superscript"/>
        </w:rPr>
        <w:t>–</w:t>
      </w:r>
      <w:r>
        <w:rPr>
          <w:szCs w:val="16"/>
          <w:vertAlign w:val="superscript"/>
        </w:rPr>
        <w:t>1</w:t>
      </w:r>
      <w:r>
        <w:rPr>
          <w:szCs w:val="16"/>
        </w:rPr>
        <w:t xml:space="preserve">    </w:t>
      </w:r>
      <w:r>
        <w:t>N</w:t>
      </w:r>
      <w:r>
        <w:rPr>
          <w:szCs w:val="22"/>
        </w:rPr>
        <w:t xml:space="preserve">: quantidade de núcleos no tempo </w:t>
      </w:r>
      <w:r>
        <w:t>t</w:t>
      </w:r>
    </w:p>
    <w:p w:rsidR="00DC05D0" w:rsidRDefault="00DC05D0" w:rsidP="00DC05D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>
        <w:t xml:space="preserve">ln (0,92) </w:t>
      </w:r>
      <w:r>
        <w:sym w:font="Symbol" w:char="F040"/>
      </w:r>
      <w:r>
        <w:t xml:space="preserve"> –0,083     a: </w:t>
      </w:r>
      <w:r>
        <w:rPr>
          <w:szCs w:val="22"/>
        </w:rPr>
        <w:t>constante de decaimento</w:t>
      </w:r>
    </w:p>
    <w:p w:rsidR="00DC05D0" w:rsidRDefault="00DC05D0" w:rsidP="00DC05D0">
      <w:pPr>
        <w:autoSpaceDE w:val="0"/>
        <w:autoSpaceDN w:val="0"/>
        <w:adjustRightInd w:val="0"/>
        <w:ind w:left="360" w:hanging="360"/>
        <w:jc w:val="both"/>
        <w:rPr>
          <w:szCs w:val="22"/>
        </w:rPr>
      </w:pPr>
    </w:p>
    <w:p w:rsidR="00DC05D0" w:rsidRDefault="00DC05D0" w:rsidP="00DC05D0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rPr>
          <w:szCs w:val="22"/>
        </w:rPr>
        <w:t xml:space="preserve">Na datação, por exemplo, do Santo Sudário, um lençol de linho que supostamente envolveu o corpo de Jesus Cristo e no qual está impressa uma imagem humana, foi usada uma técnica que permitiu verificar que existe, hoje, 92% do </w:t>
      </w:r>
      <w:smartTag w:uri="urn:schemas-microsoft-com:office:smarttags" w:element="metricconverter">
        <w:smartTagPr>
          <w:attr w:name="ProductID" w:val="14C"/>
        </w:smartTagPr>
        <w:r>
          <w:rPr>
            <w:szCs w:val="22"/>
            <w:vertAlign w:val="superscript"/>
          </w:rPr>
          <w:t>14</w:t>
        </w:r>
        <w:r>
          <w:t>C</w:t>
        </w:r>
      </w:smartTag>
      <w:r>
        <w:rPr>
          <w:szCs w:val="14"/>
        </w:rPr>
        <w:t xml:space="preserve"> </w:t>
      </w:r>
      <w:r>
        <w:rPr>
          <w:szCs w:val="22"/>
        </w:rPr>
        <w:t>que deveria existir quando a fibra de linho foi colhida e usada para fazer o lençol.</w:t>
      </w:r>
    </w:p>
    <w:p w:rsidR="00DC05D0" w:rsidRDefault="00DC05D0" w:rsidP="00DC05D0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>Usando essas informações, pode-se afirmar que essa relíquia católica tem aproximadamente:</w:t>
      </w:r>
    </w:p>
    <w:p w:rsidR="00DC05D0" w:rsidRPr="00817038" w:rsidRDefault="00DC05D0" w:rsidP="00DC05D0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817038">
        <w:rPr>
          <w:bCs/>
          <w:szCs w:val="22"/>
        </w:rPr>
        <w:t>a)</w:t>
      </w:r>
      <w:r w:rsidRPr="00817038">
        <w:rPr>
          <w:bCs/>
          <w:szCs w:val="22"/>
        </w:rPr>
        <w:tab/>
      </w:r>
      <w:r w:rsidRPr="00817038">
        <w:rPr>
          <w:szCs w:val="22"/>
        </w:rPr>
        <w:t>2033 anos.</w:t>
      </w:r>
    </w:p>
    <w:p w:rsidR="00DC05D0" w:rsidRPr="00817038" w:rsidRDefault="00DC05D0" w:rsidP="00DC05D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817038">
        <w:rPr>
          <w:bCs/>
          <w:szCs w:val="22"/>
        </w:rPr>
        <w:t>b)</w:t>
      </w:r>
      <w:r w:rsidRPr="00817038">
        <w:rPr>
          <w:bCs/>
          <w:szCs w:val="22"/>
        </w:rPr>
        <w:tab/>
      </w:r>
      <w:r w:rsidRPr="00817038">
        <w:rPr>
          <w:szCs w:val="22"/>
        </w:rPr>
        <w:t>2000 anos.</w:t>
      </w:r>
    </w:p>
    <w:p w:rsidR="00DC05D0" w:rsidRPr="00817038" w:rsidRDefault="00DC05D0" w:rsidP="00DC05D0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817038">
        <w:rPr>
          <w:bCs/>
          <w:szCs w:val="22"/>
        </w:rPr>
        <w:t>c)</w:t>
      </w:r>
      <w:r w:rsidRPr="00817038">
        <w:rPr>
          <w:bCs/>
          <w:szCs w:val="22"/>
        </w:rPr>
        <w:tab/>
      </w:r>
      <w:r w:rsidRPr="00817038">
        <w:rPr>
          <w:szCs w:val="22"/>
        </w:rPr>
        <w:t>1400 anos.</w:t>
      </w:r>
    </w:p>
    <w:p w:rsidR="00DC05D0" w:rsidRDefault="00DC05D0" w:rsidP="00DC05D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817038">
        <w:rPr>
          <w:bCs/>
          <w:szCs w:val="22"/>
        </w:rPr>
        <w:t>d)</w:t>
      </w:r>
      <w:r w:rsidRPr="00817038">
        <w:rPr>
          <w:bCs/>
          <w:szCs w:val="22"/>
        </w:rPr>
        <w:tab/>
      </w:r>
      <w:r w:rsidRPr="00817038">
        <w:rPr>
          <w:szCs w:val="22"/>
        </w:rPr>
        <w:t>700 anos.</w:t>
      </w:r>
    </w:p>
    <w:p w:rsidR="00302BE2" w:rsidRPr="00DC05D0" w:rsidRDefault="00302BE2" w:rsidP="00DC05D0"/>
    <w:sectPr w:rsidR="00302BE2" w:rsidRPr="00DC05D0" w:rsidSect="00DC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05D0"/>
    <w:rsid w:val="001773BC"/>
    <w:rsid w:val="0023395C"/>
    <w:rsid w:val="00302BE2"/>
    <w:rsid w:val="00A56B45"/>
    <w:rsid w:val="00D969A5"/>
    <w:rsid w:val="00D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5EA30-F9A5-46EB-81CC-B7C52DE8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