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9E" w:rsidRDefault="005C189E">
      <w:pPr>
        <w:jc w:val="both"/>
        <w:rPr>
          <w:b/>
          <w:bCs/>
          <w:szCs w:val="22"/>
        </w:rPr>
      </w:pPr>
      <w:bookmarkStart w:id="0" w:name="_GoBack"/>
      <w:bookmarkEnd w:id="0"/>
      <w:r>
        <w:rPr>
          <w:b/>
          <w:bCs/>
          <w:szCs w:val="22"/>
        </w:rPr>
        <w:t xml:space="preserve">   </w:t>
      </w:r>
    </w:p>
    <w:p w:rsidR="005C189E" w:rsidRDefault="005C189E">
      <w:pPr>
        <w:ind w:left="360"/>
        <w:jc w:val="both"/>
        <w:rPr>
          <w:szCs w:val="22"/>
        </w:rPr>
      </w:pPr>
      <w:r>
        <w:rPr>
          <w:szCs w:val="22"/>
        </w:rPr>
        <w:t>Em 1947, na Universidade de Bristol (Inglaterra), Cesar Lattes, físico brasileiro, idealizou uma série de experiências que culminou com a descoberta do méson-</w:t>
      </w:r>
      <w:r>
        <w:rPr>
          <w:rFonts w:hint="eastAsia"/>
          <w:szCs w:val="22"/>
        </w:rPr>
        <w:t>π</w:t>
      </w:r>
      <w:r>
        <w:rPr>
          <w:szCs w:val="22"/>
        </w:rPr>
        <w:t>, partícula responsável pela força de interação nuclear forte. Essa força é responsável pela:</w:t>
      </w:r>
    </w:p>
    <w:p w:rsidR="005C189E" w:rsidRDefault="005C189E">
      <w:pPr>
        <w:ind w:left="720" w:hanging="360"/>
        <w:jc w:val="both"/>
        <w:rPr>
          <w:szCs w:val="22"/>
        </w:rPr>
      </w:pPr>
      <w:r>
        <w:rPr>
          <w:szCs w:val="22"/>
        </w:rPr>
        <w:t>a)</w:t>
      </w:r>
      <w:r>
        <w:rPr>
          <w:szCs w:val="22"/>
        </w:rPr>
        <w:tab/>
        <w:t>existência dos núcleos atômicos</w:t>
      </w:r>
    </w:p>
    <w:p w:rsidR="005C189E" w:rsidRDefault="005C189E">
      <w:pPr>
        <w:ind w:left="720" w:hanging="360"/>
        <w:jc w:val="both"/>
        <w:rPr>
          <w:szCs w:val="22"/>
        </w:rPr>
      </w:pPr>
      <w:r>
        <w:rPr>
          <w:szCs w:val="22"/>
        </w:rPr>
        <w:t>b)</w:t>
      </w:r>
      <w:r>
        <w:rPr>
          <w:szCs w:val="22"/>
        </w:rPr>
        <w:tab/>
        <w:t>atração entre a Terra e a Lua</w:t>
      </w:r>
    </w:p>
    <w:p w:rsidR="005C189E" w:rsidRDefault="005C189E">
      <w:pPr>
        <w:ind w:left="720" w:hanging="360"/>
        <w:jc w:val="both"/>
        <w:rPr>
          <w:szCs w:val="22"/>
        </w:rPr>
      </w:pPr>
      <w:r>
        <w:rPr>
          <w:szCs w:val="22"/>
        </w:rPr>
        <w:t>c)</w:t>
      </w:r>
      <w:r>
        <w:rPr>
          <w:szCs w:val="22"/>
        </w:rPr>
        <w:tab/>
        <w:t>queima de petróleo</w:t>
      </w:r>
    </w:p>
    <w:p w:rsidR="005C189E" w:rsidRDefault="005C189E">
      <w:pPr>
        <w:ind w:left="720" w:hanging="360"/>
        <w:jc w:val="both"/>
        <w:rPr>
          <w:szCs w:val="22"/>
        </w:rPr>
      </w:pPr>
      <w:r>
        <w:rPr>
          <w:szCs w:val="22"/>
        </w:rPr>
        <w:t>d)</w:t>
      </w:r>
      <w:r>
        <w:rPr>
          <w:szCs w:val="22"/>
        </w:rPr>
        <w:tab/>
        <w:t>transparência de materiais vítreos</w:t>
      </w:r>
    </w:p>
    <w:p w:rsidR="005C189E" w:rsidRDefault="005C189E">
      <w:pPr>
        <w:ind w:left="720" w:hanging="360"/>
        <w:jc w:val="both"/>
        <w:rPr>
          <w:szCs w:val="20"/>
        </w:rPr>
      </w:pPr>
      <w:r>
        <w:rPr>
          <w:szCs w:val="22"/>
        </w:rPr>
        <w:t>e)</w:t>
      </w:r>
      <w:r>
        <w:rPr>
          <w:szCs w:val="22"/>
        </w:rPr>
        <w:tab/>
        <w:t>catástrofe do ultravioleta nas radiações de corpos negros</w:t>
      </w:r>
    </w:p>
    <w:p w:rsidR="00302BE2" w:rsidRPr="005C189E" w:rsidRDefault="00302BE2" w:rsidP="005C189E"/>
    <w:sectPr w:rsidR="00302BE2" w:rsidRPr="005C189E" w:rsidSect="005C1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189E"/>
    <w:rsid w:val="001773BC"/>
    <w:rsid w:val="0023395C"/>
    <w:rsid w:val="00302BE2"/>
    <w:rsid w:val="005C189E"/>
    <w:rsid w:val="009D6BC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03810-65C7-4475-A2E9-A4BEBB65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