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99" w:rsidRDefault="00D61099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D61099" w:rsidRDefault="00D61099">
      <w:pPr>
        <w:ind w:left="360"/>
        <w:jc w:val="both"/>
      </w:pPr>
      <w:r>
        <w:t>A teoria ondulatória da luz surgiu quando houve a necessidade de explicar os fenômenos:</w:t>
      </w:r>
    </w:p>
    <w:p w:rsidR="00D61099" w:rsidRDefault="00D6109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a)</w:t>
      </w:r>
      <w:r>
        <w:rPr>
          <w:color w:val="292526"/>
          <w:szCs w:val="20"/>
        </w:rPr>
        <w:tab/>
        <w:t>reflexão e refração;</w:t>
      </w:r>
    </w:p>
    <w:p w:rsidR="00D61099" w:rsidRDefault="00D6109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b)</w:t>
      </w:r>
      <w:r>
        <w:rPr>
          <w:color w:val="292526"/>
          <w:szCs w:val="20"/>
        </w:rPr>
        <w:tab/>
        <w:t>ângulo limite de refração;</w:t>
      </w:r>
    </w:p>
    <w:p w:rsidR="00D61099" w:rsidRDefault="00D6109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c)</w:t>
      </w:r>
      <w:r>
        <w:rPr>
          <w:color w:val="292526"/>
          <w:szCs w:val="20"/>
        </w:rPr>
        <w:tab/>
        <w:t>reversibilidade dos raios luminosos;</w:t>
      </w:r>
    </w:p>
    <w:p w:rsidR="00D61099" w:rsidRDefault="00D6109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d)</w:t>
      </w:r>
      <w:r>
        <w:rPr>
          <w:color w:val="292526"/>
          <w:szCs w:val="20"/>
        </w:rPr>
        <w:tab/>
        <w:t>efeitos fotoelétrico e Compton;</w:t>
      </w:r>
    </w:p>
    <w:p w:rsidR="00D61099" w:rsidRDefault="00D61099">
      <w:pPr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>e)</w:t>
      </w:r>
      <w:r>
        <w:rPr>
          <w:color w:val="292526"/>
          <w:szCs w:val="20"/>
        </w:rPr>
        <w:tab/>
        <w:t>interferência e difração.</w:t>
      </w:r>
    </w:p>
    <w:p w:rsidR="00302BE2" w:rsidRPr="00D61099" w:rsidRDefault="00302BE2" w:rsidP="00D61099"/>
    <w:sectPr w:rsidR="00302BE2" w:rsidRPr="00D61099" w:rsidSect="00D6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1099"/>
    <w:rsid w:val="001773BC"/>
    <w:rsid w:val="0023395C"/>
    <w:rsid w:val="00302BE2"/>
    <w:rsid w:val="00D35EFF"/>
    <w:rsid w:val="00D6109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15247-8369-4094-B7A8-C4F91E1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