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F9" w:rsidRPr="00473567" w:rsidRDefault="00B458F9" w:rsidP="00B458F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458F9" w:rsidRPr="00DF23AF" w:rsidRDefault="00B458F9" w:rsidP="00B458F9">
      <w:pPr>
        <w:ind w:left="360"/>
        <w:jc w:val="both"/>
      </w:pPr>
      <w:r w:rsidRPr="00DF23AF">
        <w:t xml:space="preserve">Sendo </w:t>
      </w:r>
      <w:r w:rsidRPr="00DF23AF">
        <w:rPr>
          <w:b/>
        </w:rPr>
        <w:t>h</w:t>
      </w:r>
      <w:r w:rsidRPr="00DF23AF">
        <w:t xml:space="preserve"> a constante de Planck e supondo a ocorrência da transição eletrônica de um elétron que se encontra num orbital atômico com energia </w:t>
      </w:r>
      <w:r w:rsidRPr="00DF23AF">
        <w:rPr>
          <w:b/>
        </w:rPr>
        <w:t>E</w:t>
      </w:r>
      <w:r w:rsidRPr="00DF23AF">
        <w:rPr>
          <w:b/>
          <w:vertAlign w:val="subscript"/>
        </w:rPr>
        <w:t>x</w:t>
      </w:r>
      <w:r w:rsidRPr="00DF23AF">
        <w:t xml:space="preserve"> para outro com energia </w:t>
      </w:r>
      <w:r w:rsidRPr="00DF23AF">
        <w:rPr>
          <w:position w:val="-12"/>
        </w:rPr>
        <w:object w:dxaOrig="10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95pt;height:14.85pt" o:ole="">
            <v:imagedata r:id="rId4" o:title=""/>
          </v:shape>
          <o:OLEObject Type="Embed" ProgID="Equation.3" ShapeID="_x0000_i1025" DrawAspect="Content" ObjectID="_1536351107" r:id="rId5"/>
        </w:object>
      </w:r>
      <w:r w:rsidRPr="00DF23AF">
        <w:t xml:space="preserve">, pode-se afirmar que, nessa transição: </w:t>
      </w:r>
    </w:p>
    <w:p w:rsidR="00B458F9" w:rsidRPr="00DF23AF" w:rsidRDefault="00B458F9" w:rsidP="00B458F9">
      <w:pPr>
        <w:ind w:left="720" w:hanging="360"/>
        <w:jc w:val="both"/>
      </w:pPr>
      <w:r w:rsidRPr="00DF23AF">
        <w:t>a)</w:t>
      </w:r>
      <w:r w:rsidRPr="00DF23AF">
        <w:tab/>
        <w:t xml:space="preserve">há a emissão de radiação com freqüência </w:t>
      </w:r>
      <w:r w:rsidRPr="00DF23AF">
        <w:rPr>
          <w:position w:val="-12"/>
        </w:rPr>
        <w:object w:dxaOrig="1300" w:dyaOrig="300">
          <v:shape id="_x0000_i1026" type="#_x0000_t75" style="width:65.05pt;height:14.85pt" o:ole="">
            <v:imagedata r:id="rId6" o:title=""/>
          </v:shape>
          <o:OLEObject Type="Embed" ProgID="Equation.3" ShapeID="_x0000_i1026" DrawAspect="Content" ObjectID="_1536351108" r:id="rId7"/>
        </w:object>
      </w:r>
      <w:r w:rsidRPr="00DF23AF">
        <w:t xml:space="preserve">. </w:t>
      </w:r>
    </w:p>
    <w:p w:rsidR="00B458F9" w:rsidRPr="00DF23AF" w:rsidRDefault="00B458F9" w:rsidP="00B458F9">
      <w:pPr>
        <w:ind w:left="720" w:hanging="360"/>
        <w:jc w:val="both"/>
      </w:pPr>
      <w:r w:rsidRPr="00DF23AF">
        <w:t>b)</w:t>
      </w:r>
      <w:r w:rsidRPr="00DF23AF">
        <w:tab/>
        <w:t xml:space="preserve">há a absorção de radiação com freqüência </w:t>
      </w:r>
      <w:r w:rsidRPr="00DF23AF">
        <w:rPr>
          <w:position w:val="-12"/>
        </w:rPr>
        <w:object w:dxaOrig="1300" w:dyaOrig="300">
          <v:shape id="_x0000_i1027" type="#_x0000_t75" style="width:65.05pt;height:14.85pt" o:ole="">
            <v:imagedata r:id="rId8" o:title=""/>
          </v:shape>
          <o:OLEObject Type="Embed" ProgID="Equation.3" ShapeID="_x0000_i1027" DrawAspect="Content" ObjectID="_1536351109" r:id="rId9"/>
        </w:object>
      </w:r>
      <w:r w:rsidRPr="00DF23AF">
        <w:t xml:space="preserve">. </w:t>
      </w:r>
    </w:p>
    <w:p w:rsidR="00B458F9" w:rsidRPr="00DF23AF" w:rsidRDefault="00B458F9" w:rsidP="00B458F9">
      <w:pPr>
        <w:ind w:left="720" w:hanging="360"/>
        <w:jc w:val="both"/>
      </w:pPr>
      <w:r w:rsidRPr="00DF23AF">
        <w:t>c)</w:t>
      </w:r>
      <w:r w:rsidRPr="00DF23AF">
        <w:tab/>
        <w:t xml:space="preserve">há a absorção de radiação com freqüência </w:t>
      </w:r>
      <w:r w:rsidRPr="00DF23AF">
        <w:rPr>
          <w:position w:val="-10"/>
        </w:rPr>
        <w:object w:dxaOrig="800" w:dyaOrig="279">
          <v:shape id="_x0000_i1028" type="#_x0000_t75" style="width:39.95pt;height:13.95pt" o:ole="">
            <v:imagedata r:id="rId10" o:title=""/>
          </v:shape>
          <o:OLEObject Type="Embed" ProgID="Equation.3" ShapeID="_x0000_i1028" DrawAspect="Content" ObjectID="_1536351110" r:id="rId11"/>
        </w:object>
      </w:r>
      <w:r w:rsidRPr="00DF23AF">
        <w:t xml:space="preserve">. </w:t>
      </w:r>
    </w:p>
    <w:p w:rsidR="00B458F9" w:rsidRPr="00DF23AF" w:rsidRDefault="00B458F9" w:rsidP="00B458F9">
      <w:pPr>
        <w:ind w:left="720" w:hanging="360"/>
        <w:jc w:val="both"/>
      </w:pPr>
      <w:r w:rsidRPr="00DF23AF">
        <w:t>d)</w:t>
      </w:r>
      <w:r w:rsidRPr="00DF23AF">
        <w:tab/>
        <w:t xml:space="preserve">há a emissão de radiação com freqüência </w:t>
      </w:r>
      <w:r w:rsidRPr="00DF23AF">
        <w:rPr>
          <w:position w:val="-10"/>
        </w:rPr>
        <w:object w:dxaOrig="800" w:dyaOrig="279">
          <v:shape id="_x0000_i1029" type="#_x0000_t75" style="width:39.95pt;height:13.95pt" o:ole="">
            <v:imagedata r:id="rId12" o:title=""/>
          </v:shape>
          <o:OLEObject Type="Embed" ProgID="Equation.3" ShapeID="_x0000_i1029" DrawAspect="Content" ObjectID="_1536351111" r:id="rId13"/>
        </w:object>
      </w:r>
      <w:r w:rsidRPr="00DF23AF">
        <w:t xml:space="preserve">. </w:t>
      </w:r>
    </w:p>
    <w:p w:rsidR="00B458F9" w:rsidRPr="00DF23AF" w:rsidRDefault="00B458F9" w:rsidP="00B458F9">
      <w:pPr>
        <w:ind w:left="720" w:hanging="360"/>
        <w:jc w:val="both"/>
      </w:pPr>
      <w:r w:rsidRPr="00DF23AF">
        <w:t>e)</w:t>
      </w:r>
      <w:r w:rsidRPr="00DF23AF">
        <w:tab/>
        <w:t xml:space="preserve">há tanto a emissão de radiação com freqüência </w:t>
      </w:r>
      <w:r w:rsidRPr="00DF23AF">
        <w:rPr>
          <w:position w:val="-12"/>
        </w:rPr>
        <w:object w:dxaOrig="1300" w:dyaOrig="300">
          <v:shape id="_x0000_i1030" type="#_x0000_t75" style="width:65.05pt;height:14.85pt" o:ole="">
            <v:imagedata r:id="rId6" o:title=""/>
          </v:shape>
          <o:OLEObject Type="Embed" ProgID="Equation.3" ShapeID="_x0000_i1030" DrawAspect="Content" ObjectID="_1536351112" r:id="rId14"/>
        </w:object>
      </w:r>
      <w:r w:rsidRPr="00DF23AF">
        <w:t xml:space="preserve">, quanto a absorção de radiação com freqüência </w:t>
      </w:r>
      <w:r w:rsidRPr="00DF23AF">
        <w:rPr>
          <w:position w:val="-12"/>
        </w:rPr>
        <w:object w:dxaOrig="1300" w:dyaOrig="300">
          <v:shape id="_x0000_i1031" type="#_x0000_t75" style="width:65.05pt;height:14.85pt" o:ole="">
            <v:imagedata r:id="rId8" o:title=""/>
          </v:shape>
          <o:OLEObject Type="Embed" ProgID="Equation.3" ShapeID="_x0000_i1031" DrawAspect="Content" ObjectID="_1536351113" r:id="rId15"/>
        </w:object>
      </w:r>
      <w:r w:rsidRPr="00DF23AF">
        <w:t xml:space="preserve">. </w:t>
      </w:r>
    </w:p>
    <w:p w:rsidR="00302BE2" w:rsidRPr="00B458F9" w:rsidRDefault="00302BE2" w:rsidP="00B458F9"/>
    <w:sectPr w:rsidR="00302BE2" w:rsidRPr="00B458F9" w:rsidSect="00B45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58F9"/>
    <w:rsid w:val="001773BC"/>
    <w:rsid w:val="0023395C"/>
    <w:rsid w:val="00302BE2"/>
    <w:rsid w:val="00B458F9"/>
    <w:rsid w:val="00CD37A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73722-0A99-4744-A6DC-87BB3C2B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