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81" w:rsidRPr="00CE5CA8" w:rsidRDefault="00BB0081" w:rsidP="00BB0081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BB0081" w:rsidRPr="00A3097A" w:rsidRDefault="00BB0081" w:rsidP="00BB0081">
      <w:pPr>
        <w:ind w:left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O PET (Positron Emission Tomography ou tomografia por emissão de pósitron) é uma técnica de diagnóstico por imagens que permite mapear a atividade cerebral por meio de radiações eletromagnéticas emitidas pelo cérebro. Para a realização do exame, o paciente ingere uma solução de glicose contendo isótopo radioativo flúor-18, que tem meia-vida de 110 minutos e decai por emissão de pósitron. Essa solução é absorvida rapidamente pelas áreas cerebrais em maior atividade. Os pósitrons emitidos pelos núcleos de flúor-18, ao encontrar elétrons das vizinhanças, provocam, por aniquilação de par, a emissão de fótons de alta energia. Esses fótons são empregados para produzir uma imagem do cérebro em funcionamento.</w:t>
      </w:r>
    </w:p>
    <w:p w:rsidR="00BB0081" w:rsidRPr="00A3097A" w:rsidRDefault="00BB0081" w:rsidP="00BB0081">
      <w:pPr>
        <w:ind w:left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Supondo-se que não haja eliminação da solução pelo organismo, que porcentagem da quantidade de flúor-18 ingerido ainda permanece presente no paciente 5 horas e 30 minutos após a ingestão?</w:t>
      </w:r>
    </w:p>
    <w:p w:rsidR="00BB0081" w:rsidRPr="00A3097A" w:rsidRDefault="00BB0081" w:rsidP="00BB0081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a)</w:t>
      </w:r>
      <w:r w:rsidRPr="00A3097A">
        <w:rPr>
          <w:sz w:val="18"/>
          <w:szCs w:val="18"/>
        </w:rPr>
        <w:tab/>
        <w:t>0,00%</w:t>
      </w:r>
    </w:p>
    <w:p w:rsidR="00BB0081" w:rsidRPr="00A3097A" w:rsidRDefault="00BB0081" w:rsidP="00BB0081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b)</w:t>
      </w:r>
      <w:r w:rsidRPr="00A3097A">
        <w:rPr>
          <w:sz w:val="18"/>
          <w:szCs w:val="18"/>
        </w:rPr>
        <w:tab/>
        <w:t>12,50%</w:t>
      </w:r>
    </w:p>
    <w:p w:rsidR="00BB0081" w:rsidRPr="00A3097A" w:rsidRDefault="00BB0081" w:rsidP="00BB0081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c)</w:t>
      </w:r>
      <w:r w:rsidRPr="00A3097A">
        <w:rPr>
          <w:sz w:val="18"/>
          <w:szCs w:val="18"/>
        </w:rPr>
        <w:tab/>
        <w:t>33,33%</w:t>
      </w:r>
    </w:p>
    <w:p w:rsidR="00BB0081" w:rsidRPr="00A3097A" w:rsidRDefault="00BB0081" w:rsidP="00BB0081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d)</w:t>
      </w:r>
      <w:r w:rsidRPr="00A3097A">
        <w:rPr>
          <w:sz w:val="18"/>
          <w:szCs w:val="18"/>
        </w:rPr>
        <w:tab/>
        <w:t>66,66%</w:t>
      </w:r>
    </w:p>
    <w:p w:rsidR="00BB0081" w:rsidRPr="00A3097A" w:rsidRDefault="00BB0081" w:rsidP="00BB0081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e)</w:t>
      </w:r>
      <w:r w:rsidRPr="00A3097A">
        <w:rPr>
          <w:sz w:val="18"/>
          <w:szCs w:val="18"/>
        </w:rPr>
        <w:tab/>
        <w:t>87,50%</w:t>
      </w:r>
    </w:p>
    <w:p w:rsidR="00302BE2" w:rsidRPr="00BB0081" w:rsidRDefault="00302BE2" w:rsidP="00BB0081"/>
    <w:sectPr w:rsidR="00302BE2" w:rsidRPr="00BB0081" w:rsidSect="00BB0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0081"/>
    <w:rsid w:val="000C44C0"/>
    <w:rsid w:val="001773BC"/>
    <w:rsid w:val="0023395C"/>
    <w:rsid w:val="00302BE2"/>
    <w:rsid w:val="00BB008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C329-6C2E-49B0-9994-D72A5EBE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