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BB" w:rsidRPr="005721FF" w:rsidRDefault="00D64DBB" w:rsidP="00D64DB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D64DBB" w:rsidRPr="007D3163" w:rsidRDefault="00D64DBB" w:rsidP="00D64DB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 xml:space="preserve">Usando a lei de conservação de números quânticos e analisando o esquema global da desintegração da partícula </w:t>
      </w:r>
      <w:r w:rsidRPr="007D3163">
        <w:rPr>
          <w:position w:val="-4"/>
          <w:sz w:val="18"/>
          <w:szCs w:val="18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3.95pt" o:ole="">
            <v:imagedata r:id="rId4" o:title=""/>
          </v:shape>
          <o:OLEObject Type="Embed" ProgID="Equation.3" ShapeID="_x0000_i1025" DrawAspect="Content" ObjectID="_1536351121" r:id="rId5"/>
        </w:object>
      </w:r>
      <w:r w:rsidRPr="007D3163">
        <w:rPr>
          <w:sz w:val="18"/>
          <w:szCs w:val="18"/>
        </w:rPr>
        <w:t xml:space="preserve"> (Csi menos) em um próton (</w:t>
      </w:r>
      <w:r w:rsidRPr="007D3163">
        <w:rPr>
          <w:b/>
          <w:bCs/>
          <w:i/>
          <w:iCs/>
          <w:sz w:val="18"/>
          <w:szCs w:val="18"/>
        </w:rPr>
        <w:t>p</w:t>
      </w:r>
      <w:r w:rsidRPr="007D3163">
        <w:rPr>
          <w:sz w:val="18"/>
          <w:szCs w:val="18"/>
        </w:rPr>
        <w:t>), quatro neutrinos (</w:t>
      </w:r>
      <w:r w:rsidRPr="007D3163">
        <w:rPr>
          <w:b/>
          <w:bCs/>
          <w:sz w:val="18"/>
          <w:szCs w:val="18"/>
        </w:rPr>
        <w:t>4</w:t>
      </w:r>
      <w:r w:rsidRPr="007D3163">
        <w:rPr>
          <w:b/>
          <w:bCs/>
          <w:i/>
          <w:iCs/>
          <w:sz w:val="18"/>
          <w:szCs w:val="18"/>
        </w:rPr>
        <w:t>ν</w:t>
      </w:r>
      <w:r w:rsidRPr="007D3163">
        <w:rPr>
          <w:sz w:val="18"/>
          <w:szCs w:val="18"/>
        </w:rPr>
        <w:t>), dois elétrons (</w:t>
      </w:r>
      <w:r w:rsidRPr="007D3163">
        <w:rPr>
          <w:b/>
          <w:bCs/>
          <w:sz w:val="18"/>
          <w:szCs w:val="18"/>
        </w:rPr>
        <w:t>2</w:t>
      </w:r>
      <w:r w:rsidRPr="007D3163">
        <w:rPr>
          <w:b/>
          <w:bCs/>
          <w:i/>
          <w:iCs/>
          <w:sz w:val="18"/>
          <w:szCs w:val="18"/>
        </w:rPr>
        <w:t>e</w:t>
      </w:r>
      <w:r w:rsidRPr="007D3163">
        <w:rPr>
          <w:b/>
          <w:bCs/>
          <w:i/>
          <w:iCs/>
          <w:sz w:val="18"/>
          <w:szCs w:val="18"/>
          <w:vertAlign w:val="superscript"/>
        </w:rPr>
        <w:t>–</w:t>
      </w:r>
      <w:r w:rsidRPr="007D3163">
        <w:rPr>
          <w:sz w:val="18"/>
          <w:szCs w:val="18"/>
        </w:rPr>
        <w:t>) e dois fótons (</w:t>
      </w:r>
      <w:r w:rsidRPr="007D3163">
        <w:rPr>
          <w:b/>
          <w:bCs/>
          <w:sz w:val="18"/>
          <w:szCs w:val="18"/>
        </w:rPr>
        <w:t>2</w:t>
      </w:r>
      <w:r w:rsidRPr="007D3163">
        <w:rPr>
          <w:b/>
          <w:bCs/>
          <w:position w:val="-8"/>
          <w:sz w:val="18"/>
          <w:szCs w:val="18"/>
        </w:rPr>
        <w:object w:dxaOrig="160" w:dyaOrig="220">
          <v:shape id="_x0000_i1026" type="#_x0000_t75" style="width:7.9pt;height:11.15pt" o:ole="">
            <v:imagedata r:id="rId6" o:title=""/>
          </v:shape>
          <o:OLEObject Type="Embed" ProgID="Equation.3" ShapeID="_x0000_i1026" DrawAspect="Content" ObjectID="_1536351122" r:id="rId7"/>
        </w:object>
      </w:r>
      <w:r w:rsidRPr="007D3163">
        <w:rPr>
          <w:sz w:val="18"/>
          <w:szCs w:val="18"/>
        </w:rPr>
        <w:t>):</w:t>
      </w:r>
    </w:p>
    <w:p w:rsidR="00D64DBB" w:rsidRPr="007D3163" w:rsidRDefault="00D64DBB" w:rsidP="00D64DBB">
      <w:pPr>
        <w:autoSpaceDE w:val="0"/>
        <w:autoSpaceDN w:val="0"/>
        <w:adjustRightInd w:val="0"/>
        <w:ind w:left="342"/>
        <w:jc w:val="center"/>
        <w:rPr>
          <w:sz w:val="18"/>
          <w:szCs w:val="18"/>
        </w:rPr>
      </w:pPr>
      <w:r w:rsidRPr="007D3163">
        <w:rPr>
          <w:position w:val="-8"/>
          <w:sz w:val="18"/>
          <w:szCs w:val="18"/>
        </w:rPr>
        <w:object w:dxaOrig="1840" w:dyaOrig="320">
          <v:shape id="_x0000_i1027" type="#_x0000_t75" style="width:91.95pt;height:15.8pt" o:ole="">
            <v:imagedata r:id="rId8" o:title=""/>
          </v:shape>
          <o:OLEObject Type="Embed" ProgID="Equation.3" ShapeID="_x0000_i1027" DrawAspect="Content" ObjectID="_1536351123" r:id="rId9"/>
        </w:object>
      </w:r>
    </w:p>
    <w:p w:rsidR="00D64DBB" w:rsidRPr="007D3163" w:rsidRDefault="00D64DBB" w:rsidP="00D64DB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Assinale a alternativa que contém a afirmativa correta.</w:t>
      </w:r>
    </w:p>
    <w:p w:rsidR="00D64DBB" w:rsidRPr="007D3163" w:rsidRDefault="00D64DBB" w:rsidP="00D64DB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a)</w:t>
      </w:r>
      <w:r w:rsidRPr="007D3163">
        <w:rPr>
          <w:sz w:val="18"/>
          <w:szCs w:val="18"/>
        </w:rPr>
        <w:tab/>
      </w:r>
      <w:r w:rsidRPr="007D3163">
        <w:rPr>
          <w:position w:val="-4"/>
          <w:sz w:val="18"/>
          <w:szCs w:val="18"/>
        </w:rPr>
        <w:object w:dxaOrig="279" w:dyaOrig="279">
          <v:shape id="_x0000_i1028" type="#_x0000_t75" style="width:13.95pt;height:13.95pt" o:ole="">
            <v:imagedata r:id="rId4" o:title=""/>
          </v:shape>
          <o:OLEObject Type="Embed" ProgID="Equation.3" ShapeID="_x0000_i1028" DrawAspect="Content" ObjectID="_1536351124" r:id="rId10"/>
        </w:object>
      </w:r>
      <w:r w:rsidRPr="007D3163">
        <w:rPr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>é da família dos mésons, tem spin de valor semi-inteiro e não conserva o número quântico de carga total no esquema global de sua desintegração.</w:t>
      </w:r>
    </w:p>
    <w:p w:rsidR="00D64DBB" w:rsidRPr="007D3163" w:rsidRDefault="00D64DBB" w:rsidP="00D64DB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b)</w:t>
      </w:r>
      <w:r w:rsidRPr="007D3163">
        <w:rPr>
          <w:sz w:val="18"/>
          <w:szCs w:val="18"/>
        </w:rPr>
        <w:tab/>
      </w:r>
      <w:r w:rsidRPr="007D3163">
        <w:rPr>
          <w:position w:val="-4"/>
          <w:sz w:val="18"/>
          <w:szCs w:val="18"/>
        </w:rPr>
        <w:object w:dxaOrig="279" w:dyaOrig="279">
          <v:shape id="_x0000_i1029" type="#_x0000_t75" style="width:13.95pt;height:13.95pt" o:ole="">
            <v:imagedata r:id="rId4" o:title=""/>
          </v:shape>
          <o:OLEObject Type="Embed" ProgID="Equation.3" ShapeID="_x0000_i1029" DrawAspect="Content" ObjectID="_1536351125" r:id="rId11"/>
        </w:object>
      </w:r>
      <w:r w:rsidRPr="007D3163">
        <w:rPr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>é da família dos bárions, tem spin de valor semi-inteiro e conserva o número quântico de carga total no esquema global de sua desintegração.</w:t>
      </w:r>
    </w:p>
    <w:p w:rsidR="00D64DBB" w:rsidRPr="007D3163" w:rsidRDefault="00D64DBB" w:rsidP="00D64DB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c)</w:t>
      </w:r>
      <w:r w:rsidRPr="007D3163">
        <w:rPr>
          <w:sz w:val="18"/>
          <w:szCs w:val="18"/>
        </w:rPr>
        <w:tab/>
      </w:r>
      <w:r w:rsidRPr="007D3163">
        <w:rPr>
          <w:position w:val="-4"/>
          <w:sz w:val="18"/>
          <w:szCs w:val="18"/>
        </w:rPr>
        <w:object w:dxaOrig="279" w:dyaOrig="279">
          <v:shape id="_x0000_i1030" type="#_x0000_t75" style="width:13.95pt;height:13.95pt" o:ole="">
            <v:imagedata r:id="rId4" o:title=""/>
          </v:shape>
          <o:OLEObject Type="Embed" ProgID="Equation.3" ShapeID="_x0000_i1030" DrawAspect="Content" ObjectID="_1536351126" r:id="rId12"/>
        </w:object>
      </w:r>
      <w:r w:rsidRPr="007D3163">
        <w:rPr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>é da família dos léptons, tem spin de valor semi-inteiro e não conserva o número quântico de carga total no esquema global de sua desintegração.</w:t>
      </w:r>
    </w:p>
    <w:p w:rsidR="00D64DBB" w:rsidRPr="007D3163" w:rsidRDefault="00D64DBB" w:rsidP="00D64DB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d)</w:t>
      </w:r>
      <w:r w:rsidRPr="007D3163">
        <w:rPr>
          <w:sz w:val="18"/>
          <w:szCs w:val="18"/>
        </w:rPr>
        <w:tab/>
      </w:r>
      <w:r w:rsidRPr="007D3163">
        <w:rPr>
          <w:position w:val="-4"/>
          <w:sz w:val="18"/>
          <w:szCs w:val="18"/>
        </w:rPr>
        <w:object w:dxaOrig="279" w:dyaOrig="279">
          <v:shape id="_x0000_i1031" type="#_x0000_t75" style="width:13.95pt;height:13.95pt" o:ole="">
            <v:imagedata r:id="rId4" o:title=""/>
          </v:shape>
          <o:OLEObject Type="Embed" ProgID="Equation.3" ShapeID="_x0000_i1031" DrawAspect="Content" ObjectID="_1536351127" r:id="rId13"/>
        </w:object>
      </w:r>
      <w:r w:rsidRPr="007D3163">
        <w:rPr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>é da família das partículas estranhas, tem spin de valor inteiro e conserva o número quântico de paridade no esquema global de sua desintegração.</w:t>
      </w:r>
    </w:p>
    <w:p w:rsidR="00D64DBB" w:rsidRPr="007D3163" w:rsidRDefault="00D64DBB" w:rsidP="00D64DB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7D3163">
        <w:rPr>
          <w:sz w:val="18"/>
          <w:szCs w:val="18"/>
        </w:rPr>
        <w:t>e)</w:t>
      </w:r>
      <w:r w:rsidRPr="007D3163">
        <w:rPr>
          <w:sz w:val="18"/>
          <w:szCs w:val="18"/>
        </w:rPr>
        <w:tab/>
      </w:r>
      <w:r w:rsidRPr="007D3163">
        <w:rPr>
          <w:position w:val="-4"/>
          <w:sz w:val="18"/>
          <w:szCs w:val="18"/>
        </w:rPr>
        <w:object w:dxaOrig="279" w:dyaOrig="279">
          <v:shape id="_x0000_i1032" type="#_x0000_t75" style="width:13.95pt;height:13.95pt" o:ole="">
            <v:imagedata r:id="rId4" o:title=""/>
          </v:shape>
          <o:OLEObject Type="Embed" ProgID="Equation.3" ShapeID="_x0000_i1032" DrawAspect="Content" ObjectID="_1536351128" r:id="rId14"/>
        </w:object>
      </w:r>
      <w:r w:rsidRPr="007D3163">
        <w:rPr>
          <w:i/>
          <w:iCs/>
          <w:sz w:val="18"/>
          <w:szCs w:val="18"/>
        </w:rPr>
        <w:t xml:space="preserve"> </w:t>
      </w:r>
      <w:r w:rsidRPr="007D3163">
        <w:rPr>
          <w:sz w:val="18"/>
          <w:szCs w:val="18"/>
        </w:rPr>
        <w:t>é da família dos quarks, tem spin de valor semi-inteiro e conserva o número quântico de carga total no esquema global de sua desintegração.</w:t>
      </w:r>
    </w:p>
    <w:p w:rsidR="00302BE2" w:rsidRPr="00D64DBB" w:rsidRDefault="00302BE2" w:rsidP="00D64DBB"/>
    <w:sectPr w:rsidR="00302BE2" w:rsidRPr="00D64DBB" w:rsidSect="00D64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4DBB"/>
    <w:rsid w:val="001773BC"/>
    <w:rsid w:val="0023395C"/>
    <w:rsid w:val="00302BE2"/>
    <w:rsid w:val="00471D6B"/>
    <w:rsid w:val="00D64DB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8F48-5B48-4D56-B77E-185F9487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