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71E" w:rsidRPr="00372184" w:rsidRDefault="008A571E" w:rsidP="008A571E">
      <w:pPr>
        <w:autoSpaceDE w:val="0"/>
        <w:autoSpaceDN w:val="0"/>
        <w:adjustRightInd w:val="0"/>
        <w:jc w:val="both"/>
        <w:rPr>
          <w:b/>
          <w:sz w:val="18"/>
          <w:szCs w:val="18"/>
        </w:rPr>
      </w:pPr>
      <w:bookmarkStart w:id="0" w:name="_GoBack"/>
      <w:bookmarkEnd w:id="0"/>
      <w:r>
        <w:rPr>
          <w:b/>
          <w:sz w:val="18"/>
          <w:szCs w:val="18"/>
        </w:rPr>
        <w:t xml:space="preserve">  </w:t>
      </w:r>
    </w:p>
    <w:p w:rsidR="008A571E" w:rsidRPr="007D3163" w:rsidRDefault="008A571E" w:rsidP="008A571E">
      <w:pPr>
        <w:autoSpaceDE w:val="0"/>
        <w:autoSpaceDN w:val="0"/>
        <w:adjustRightInd w:val="0"/>
        <w:ind w:left="342"/>
        <w:jc w:val="both"/>
        <w:rPr>
          <w:sz w:val="18"/>
          <w:szCs w:val="18"/>
        </w:rPr>
      </w:pPr>
      <w:r w:rsidRPr="007D3163">
        <w:rPr>
          <w:sz w:val="18"/>
          <w:szCs w:val="18"/>
        </w:rPr>
        <w:t>As partículas fótons e neutrinos são consideradas parecidas em função de um provável valor de massa nula ou infinitesimal para os neutrinos (há estudos em andamento para a definição dessa massa).</w:t>
      </w:r>
    </w:p>
    <w:p w:rsidR="008A571E" w:rsidRPr="007D3163" w:rsidRDefault="008A571E" w:rsidP="008A571E">
      <w:pPr>
        <w:autoSpaceDE w:val="0"/>
        <w:autoSpaceDN w:val="0"/>
        <w:adjustRightInd w:val="0"/>
        <w:ind w:left="342" w:hanging="342"/>
        <w:jc w:val="both"/>
        <w:rPr>
          <w:sz w:val="18"/>
          <w:szCs w:val="18"/>
        </w:rPr>
      </w:pPr>
    </w:p>
    <w:p w:rsidR="008A571E" w:rsidRPr="007D3163" w:rsidRDefault="008A571E" w:rsidP="008A571E">
      <w:pPr>
        <w:autoSpaceDE w:val="0"/>
        <w:autoSpaceDN w:val="0"/>
        <w:adjustRightInd w:val="0"/>
        <w:ind w:left="342"/>
        <w:jc w:val="both"/>
        <w:rPr>
          <w:sz w:val="18"/>
          <w:szCs w:val="18"/>
        </w:rPr>
      </w:pPr>
      <w:r w:rsidRPr="007D3163">
        <w:rPr>
          <w:sz w:val="18"/>
          <w:szCs w:val="18"/>
        </w:rPr>
        <w:t>Analise as afirmativas a seguir:</w:t>
      </w:r>
    </w:p>
    <w:p w:rsidR="008A571E" w:rsidRPr="007D3163" w:rsidRDefault="008A571E" w:rsidP="008A571E">
      <w:pPr>
        <w:autoSpaceDE w:val="0"/>
        <w:autoSpaceDN w:val="0"/>
        <w:adjustRightInd w:val="0"/>
        <w:ind w:left="684" w:hanging="342"/>
        <w:jc w:val="both"/>
        <w:rPr>
          <w:sz w:val="18"/>
          <w:szCs w:val="18"/>
        </w:rPr>
      </w:pPr>
      <w:r w:rsidRPr="007D3163">
        <w:rPr>
          <w:sz w:val="18"/>
          <w:szCs w:val="18"/>
        </w:rPr>
        <w:t>I.</w:t>
      </w:r>
      <w:r w:rsidRPr="007D3163">
        <w:rPr>
          <w:sz w:val="18"/>
          <w:szCs w:val="18"/>
        </w:rPr>
        <w:tab/>
        <w:t xml:space="preserve">Os fótons são bósons (spin múltiplo inteiro de </w:t>
      </w:r>
      <w:r w:rsidRPr="007D3163">
        <w:rPr>
          <w:b/>
          <w:bCs/>
          <w:i/>
          <w:iCs/>
          <w:sz w:val="18"/>
          <w:szCs w:val="18"/>
        </w:rPr>
        <w:t>h/</w:t>
      </w:r>
      <w:r w:rsidRPr="007D3163">
        <w:rPr>
          <w:b/>
          <w:bCs/>
          <w:sz w:val="18"/>
          <w:szCs w:val="18"/>
        </w:rPr>
        <w:t>2</w:t>
      </w:r>
      <w:r w:rsidRPr="007D3163">
        <w:rPr>
          <w:b/>
          <w:bCs/>
          <w:position w:val="-6"/>
          <w:sz w:val="18"/>
          <w:szCs w:val="18"/>
        </w:rPr>
        <w:object w:dxaOrig="18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.85pt;height:10.2pt" o:ole="">
            <v:imagedata r:id="rId4" o:title=""/>
          </v:shape>
          <o:OLEObject Type="Embed" ProgID="Equation.3" ShapeID="_x0000_i1025" DrawAspect="Content" ObjectID="_1536351122" r:id="rId5"/>
        </w:object>
      </w:r>
      <w:r w:rsidRPr="007D3163">
        <w:rPr>
          <w:sz w:val="18"/>
          <w:szCs w:val="18"/>
        </w:rPr>
        <w:t xml:space="preserve">) e os neutrinos são férmions (spin múltiplo semi-inteiro de </w:t>
      </w:r>
      <w:r w:rsidRPr="007D3163">
        <w:rPr>
          <w:b/>
          <w:bCs/>
          <w:i/>
          <w:iCs/>
          <w:sz w:val="18"/>
          <w:szCs w:val="18"/>
        </w:rPr>
        <w:t>h/</w:t>
      </w:r>
      <w:r w:rsidRPr="007D3163">
        <w:rPr>
          <w:b/>
          <w:bCs/>
          <w:sz w:val="18"/>
          <w:szCs w:val="18"/>
        </w:rPr>
        <w:t>2</w:t>
      </w:r>
      <w:r w:rsidRPr="007D3163">
        <w:rPr>
          <w:b/>
          <w:bCs/>
          <w:position w:val="-6"/>
          <w:sz w:val="18"/>
          <w:szCs w:val="18"/>
        </w:rPr>
        <w:object w:dxaOrig="180" w:dyaOrig="200">
          <v:shape id="_x0000_i1026" type="#_x0000_t75" style="width:8.85pt;height:10.2pt" o:ole="">
            <v:imagedata r:id="rId6" o:title=""/>
          </v:shape>
          <o:OLEObject Type="Embed" ProgID="Equation.3" ShapeID="_x0000_i1026" DrawAspect="Content" ObjectID="_1536351123" r:id="rId7"/>
        </w:object>
      </w:r>
      <w:r w:rsidRPr="007D3163">
        <w:rPr>
          <w:sz w:val="18"/>
          <w:szCs w:val="18"/>
        </w:rPr>
        <w:t>).</w:t>
      </w:r>
    </w:p>
    <w:p w:rsidR="008A571E" w:rsidRPr="007D3163" w:rsidRDefault="008A571E" w:rsidP="008A571E">
      <w:pPr>
        <w:autoSpaceDE w:val="0"/>
        <w:autoSpaceDN w:val="0"/>
        <w:adjustRightInd w:val="0"/>
        <w:ind w:left="684" w:hanging="342"/>
        <w:jc w:val="both"/>
        <w:rPr>
          <w:sz w:val="18"/>
          <w:szCs w:val="18"/>
        </w:rPr>
      </w:pPr>
      <w:r w:rsidRPr="007D3163">
        <w:rPr>
          <w:sz w:val="18"/>
          <w:szCs w:val="18"/>
        </w:rPr>
        <w:t>II.</w:t>
      </w:r>
      <w:r w:rsidRPr="007D3163">
        <w:rPr>
          <w:sz w:val="18"/>
          <w:szCs w:val="18"/>
        </w:rPr>
        <w:tab/>
        <w:t>Os neutrinos são produzidos em interações fracas, como na desintegração do píon, e fótons são produzidos, por exemplo, nas transições eletromagnéticas de outras partículas, como é o caso de um elétron, sofrendo transição de um estado de maior valor energético para outro de menor valor em um dado átomo.</w:t>
      </w:r>
    </w:p>
    <w:p w:rsidR="008A571E" w:rsidRPr="007D3163" w:rsidRDefault="008A571E" w:rsidP="008A571E">
      <w:pPr>
        <w:autoSpaceDE w:val="0"/>
        <w:autoSpaceDN w:val="0"/>
        <w:adjustRightInd w:val="0"/>
        <w:ind w:left="684" w:hanging="342"/>
        <w:jc w:val="both"/>
        <w:rPr>
          <w:sz w:val="18"/>
          <w:szCs w:val="18"/>
        </w:rPr>
      </w:pPr>
      <w:r w:rsidRPr="007D3163">
        <w:rPr>
          <w:sz w:val="18"/>
          <w:szCs w:val="18"/>
        </w:rPr>
        <w:t>III.</w:t>
      </w:r>
      <w:r w:rsidRPr="007D3163">
        <w:rPr>
          <w:sz w:val="18"/>
          <w:szCs w:val="18"/>
        </w:rPr>
        <w:tab/>
        <w:t>Um neutrino ou (anti-neutrino) pode ser detectado mais facilmente pelo processo de absorção, como ocorre, por exemplo, quando um nêutron se transforma em um próton mediante a absorção de um anti-neutrino.</w:t>
      </w:r>
    </w:p>
    <w:p w:rsidR="008A571E" w:rsidRPr="007D3163" w:rsidRDefault="008A571E" w:rsidP="008A571E">
      <w:pPr>
        <w:autoSpaceDE w:val="0"/>
        <w:autoSpaceDN w:val="0"/>
        <w:adjustRightInd w:val="0"/>
        <w:ind w:left="684" w:hanging="342"/>
        <w:jc w:val="both"/>
        <w:rPr>
          <w:sz w:val="18"/>
          <w:szCs w:val="18"/>
        </w:rPr>
      </w:pPr>
      <w:r w:rsidRPr="007D3163">
        <w:rPr>
          <w:sz w:val="18"/>
          <w:szCs w:val="18"/>
        </w:rPr>
        <w:t>IV.</w:t>
      </w:r>
      <w:r w:rsidRPr="007D3163">
        <w:rPr>
          <w:sz w:val="18"/>
          <w:szCs w:val="18"/>
        </w:rPr>
        <w:tab/>
        <w:t>Os fótons e os neutrinos são capazes de provocar uma fissão nuclear em função de sua alta penetração na região nuclear dos átomos.</w:t>
      </w:r>
    </w:p>
    <w:p w:rsidR="008A571E" w:rsidRPr="007D3163" w:rsidRDefault="008A571E" w:rsidP="008A571E">
      <w:pPr>
        <w:autoSpaceDE w:val="0"/>
        <w:autoSpaceDN w:val="0"/>
        <w:adjustRightInd w:val="0"/>
        <w:ind w:left="342" w:hanging="342"/>
        <w:jc w:val="both"/>
        <w:rPr>
          <w:sz w:val="18"/>
          <w:szCs w:val="18"/>
        </w:rPr>
      </w:pPr>
    </w:p>
    <w:p w:rsidR="008A571E" w:rsidRPr="007D3163" w:rsidRDefault="008A571E" w:rsidP="008A571E">
      <w:pPr>
        <w:autoSpaceDE w:val="0"/>
        <w:autoSpaceDN w:val="0"/>
        <w:adjustRightInd w:val="0"/>
        <w:ind w:left="342"/>
        <w:jc w:val="both"/>
        <w:rPr>
          <w:sz w:val="18"/>
          <w:szCs w:val="18"/>
        </w:rPr>
      </w:pPr>
      <w:r w:rsidRPr="007D3163">
        <w:rPr>
          <w:sz w:val="18"/>
          <w:szCs w:val="18"/>
        </w:rPr>
        <w:t>Assinale a alternativa que contém todas as afirmativas corretas.</w:t>
      </w:r>
    </w:p>
    <w:p w:rsidR="008A571E" w:rsidRPr="007D3163" w:rsidRDefault="008A571E" w:rsidP="008A571E">
      <w:pPr>
        <w:autoSpaceDE w:val="0"/>
        <w:autoSpaceDN w:val="0"/>
        <w:adjustRightInd w:val="0"/>
        <w:ind w:left="684" w:hanging="342"/>
        <w:jc w:val="both"/>
        <w:rPr>
          <w:sz w:val="18"/>
          <w:szCs w:val="18"/>
        </w:rPr>
      </w:pPr>
      <w:r w:rsidRPr="007D3163">
        <w:rPr>
          <w:sz w:val="18"/>
          <w:szCs w:val="18"/>
        </w:rPr>
        <w:t>a)</w:t>
      </w:r>
      <w:r w:rsidRPr="007D3163">
        <w:rPr>
          <w:sz w:val="18"/>
          <w:szCs w:val="18"/>
        </w:rPr>
        <w:tab/>
        <w:t>I e III.</w:t>
      </w:r>
    </w:p>
    <w:p w:rsidR="008A571E" w:rsidRPr="007D3163" w:rsidRDefault="008A571E" w:rsidP="008A571E">
      <w:pPr>
        <w:autoSpaceDE w:val="0"/>
        <w:autoSpaceDN w:val="0"/>
        <w:adjustRightInd w:val="0"/>
        <w:ind w:left="684" w:hanging="342"/>
        <w:jc w:val="both"/>
        <w:rPr>
          <w:sz w:val="18"/>
          <w:szCs w:val="18"/>
        </w:rPr>
      </w:pPr>
      <w:r w:rsidRPr="007D3163">
        <w:rPr>
          <w:sz w:val="18"/>
          <w:szCs w:val="18"/>
        </w:rPr>
        <w:t>b)</w:t>
      </w:r>
      <w:r w:rsidRPr="007D3163">
        <w:rPr>
          <w:sz w:val="18"/>
          <w:szCs w:val="18"/>
        </w:rPr>
        <w:tab/>
        <w:t>I e IV.</w:t>
      </w:r>
    </w:p>
    <w:p w:rsidR="008A571E" w:rsidRPr="007D3163" w:rsidRDefault="008A571E" w:rsidP="008A571E">
      <w:pPr>
        <w:autoSpaceDE w:val="0"/>
        <w:autoSpaceDN w:val="0"/>
        <w:adjustRightInd w:val="0"/>
        <w:ind w:left="684" w:hanging="342"/>
        <w:jc w:val="both"/>
        <w:rPr>
          <w:sz w:val="18"/>
          <w:szCs w:val="18"/>
        </w:rPr>
      </w:pPr>
      <w:r w:rsidRPr="007D3163">
        <w:rPr>
          <w:sz w:val="18"/>
          <w:szCs w:val="18"/>
        </w:rPr>
        <w:t>c)</w:t>
      </w:r>
      <w:r w:rsidRPr="007D3163">
        <w:rPr>
          <w:sz w:val="18"/>
          <w:szCs w:val="18"/>
        </w:rPr>
        <w:tab/>
        <w:t>II e IV.</w:t>
      </w:r>
    </w:p>
    <w:p w:rsidR="008A571E" w:rsidRPr="007D3163" w:rsidRDefault="008A571E" w:rsidP="008A571E">
      <w:pPr>
        <w:autoSpaceDE w:val="0"/>
        <w:autoSpaceDN w:val="0"/>
        <w:adjustRightInd w:val="0"/>
        <w:ind w:left="684" w:hanging="342"/>
        <w:jc w:val="both"/>
        <w:rPr>
          <w:sz w:val="18"/>
          <w:szCs w:val="18"/>
        </w:rPr>
      </w:pPr>
      <w:r w:rsidRPr="007D3163">
        <w:rPr>
          <w:sz w:val="18"/>
          <w:szCs w:val="18"/>
        </w:rPr>
        <w:t>d)</w:t>
      </w:r>
      <w:r w:rsidRPr="007D3163">
        <w:rPr>
          <w:sz w:val="18"/>
          <w:szCs w:val="18"/>
        </w:rPr>
        <w:tab/>
        <w:t>I, II e III.</w:t>
      </w:r>
    </w:p>
    <w:p w:rsidR="008A571E" w:rsidRPr="007D3163" w:rsidRDefault="008A571E" w:rsidP="008A571E">
      <w:pPr>
        <w:autoSpaceDE w:val="0"/>
        <w:autoSpaceDN w:val="0"/>
        <w:adjustRightInd w:val="0"/>
        <w:ind w:left="684" w:hanging="342"/>
        <w:jc w:val="both"/>
        <w:rPr>
          <w:sz w:val="18"/>
          <w:szCs w:val="18"/>
        </w:rPr>
      </w:pPr>
      <w:r w:rsidRPr="007D3163">
        <w:rPr>
          <w:sz w:val="18"/>
          <w:szCs w:val="18"/>
        </w:rPr>
        <w:t>e)</w:t>
      </w:r>
      <w:r w:rsidRPr="007D3163">
        <w:rPr>
          <w:sz w:val="18"/>
          <w:szCs w:val="18"/>
        </w:rPr>
        <w:tab/>
        <w:t>II, III e IV.</w:t>
      </w:r>
    </w:p>
    <w:p w:rsidR="00302BE2" w:rsidRPr="008A571E" w:rsidRDefault="00302BE2" w:rsidP="008A571E"/>
    <w:sectPr w:rsidR="00302BE2" w:rsidRPr="008A571E" w:rsidSect="008A57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A571E"/>
    <w:rsid w:val="001773BC"/>
    <w:rsid w:val="0023395C"/>
    <w:rsid w:val="00302BE2"/>
    <w:rsid w:val="00664323"/>
    <w:rsid w:val="008A571E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7093AC-7A0D-4D1B-8456-B8FB47ECB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2016-09-26T02:26:00Z</dcterms:created>
  <dcterms:modified xsi:type="dcterms:W3CDTF">2016-09-26T02:26:00Z</dcterms:modified>
</cp:coreProperties>
</file>