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B65" w:rsidRPr="0027361F" w:rsidRDefault="00912B65" w:rsidP="00912B65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912B65" w:rsidRPr="00D050BE" w:rsidRDefault="00912B65" w:rsidP="00912B65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D050BE">
        <w:rPr>
          <w:sz w:val="18"/>
          <w:szCs w:val="18"/>
        </w:rPr>
        <w:t>Quando há incidência de radiação eletromagnética sobre uma superfície metálica, elétrons podem ser arrancados dessa superfície e eventualmente produzir uma corrente elétrica. Esse fenômeno pode ser aplicado na construção de dispositivos eletrônicos, tais como os que servem para abrir e fechar portas automáticas.</w:t>
      </w:r>
    </w:p>
    <w:p w:rsidR="00912B65" w:rsidRPr="00D050BE" w:rsidRDefault="00912B65" w:rsidP="00912B65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D050BE">
        <w:rPr>
          <w:sz w:val="18"/>
          <w:szCs w:val="18"/>
        </w:rPr>
        <w:t>Ao interagir com a superfície metálica, a radiação eletromagnética incidente se comporta como</w:t>
      </w:r>
    </w:p>
    <w:p w:rsidR="00912B65" w:rsidRPr="00D050BE" w:rsidRDefault="00912B65" w:rsidP="00912B65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050BE">
        <w:rPr>
          <w:bCs/>
          <w:sz w:val="18"/>
          <w:szCs w:val="18"/>
        </w:rPr>
        <w:t>a)</w:t>
      </w:r>
      <w:r w:rsidRPr="00D050BE">
        <w:rPr>
          <w:bCs/>
          <w:sz w:val="18"/>
          <w:szCs w:val="18"/>
        </w:rPr>
        <w:tab/>
      </w:r>
      <w:r w:rsidRPr="00D050BE">
        <w:rPr>
          <w:sz w:val="18"/>
          <w:szCs w:val="18"/>
        </w:rPr>
        <w:t>onda, e o fenômeno descrito é chamado de efeito fotoelétrico.</w:t>
      </w:r>
    </w:p>
    <w:p w:rsidR="00912B65" w:rsidRPr="00D050BE" w:rsidRDefault="00912B65" w:rsidP="00912B65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050BE">
        <w:rPr>
          <w:bCs/>
          <w:sz w:val="18"/>
          <w:szCs w:val="18"/>
        </w:rPr>
        <w:t>b)</w:t>
      </w:r>
      <w:r w:rsidRPr="00D050BE">
        <w:rPr>
          <w:bCs/>
          <w:sz w:val="18"/>
          <w:szCs w:val="18"/>
        </w:rPr>
        <w:tab/>
      </w:r>
      <w:r w:rsidRPr="00D050BE">
        <w:rPr>
          <w:sz w:val="18"/>
          <w:szCs w:val="18"/>
        </w:rPr>
        <w:t>partícula, e o fenômeno descrito é chamado de efeito fotoelétrico.</w:t>
      </w:r>
    </w:p>
    <w:p w:rsidR="00912B65" w:rsidRPr="00D050BE" w:rsidRDefault="00912B65" w:rsidP="00912B65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050BE">
        <w:rPr>
          <w:bCs/>
          <w:sz w:val="18"/>
          <w:szCs w:val="18"/>
        </w:rPr>
        <w:t>c)</w:t>
      </w:r>
      <w:r w:rsidRPr="00D050BE">
        <w:rPr>
          <w:bCs/>
          <w:sz w:val="18"/>
          <w:szCs w:val="18"/>
        </w:rPr>
        <w:tab/>
      </w:r>
      <w:r w:rsidRPr="00D050BE">
        <w:rPr>
          <w:sz w:val="18"/>
          <w:szCs w:val="18"/>
        </w:rPr>
        <w:t>partícula, e o fenômeno descrito é chamado de efeito termiônico.</w:t>
      </w:r>
    </w:p>
    <w:p w:rsidR="00912B65" w:rsidRPr="00D050BE" w:rsidRDefault="00912B65" w:rsidP="00912B65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D050BE">
        <w:rPr>
          <w:bCs/>
          <w:sz w:val="18"/>
          <w:szCs w:val="18"/>
        </w:rPr>
        <w:t>d)</w:t>
      </w:r>
      <w:r w:rsidRPr="00D050BE">
        <w:rPr>
          <w:bCs/>
          <w:sz w:val="18"/>
          <w:szCs w:val="18"/>
        </w:rPr>
        <w:tab/>
      </w:r>
      <w:r w:rsidRPr="00D050BE">
        <w:rPr>
          <w:sz w:val="18"/>
          <w:szCs w:val="18"/>
        </w:rPr>
        <w:t>onda, e o fenômeno descrito é chamado de efeito termiônico.</w:t>
      </w:r>
    </w:p>
    <w:p w:rsidR="00302BE2" w:rsidRPr="00912B65" w:rsidRDefault="00302BE2" w:rsidP="00912B65"/>
    <w:sectPr w:rsidR="00302BE2" w:rsidRPr="00912B65" w:rsidSect="00912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2B65"/>
    <w:rsid w:val="001773BC"/>
    <w:rsid w:val="0023395C"/>
    <w:rsid w:val="00302BE2"/>
    <w:rsid w:val="008420FA"/>
    <w:rsid w:val="00912B6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41DED-1A73-4640-8C2C-05B63C7D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