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CE6" w:rsidRPr="00D92676" w:rsidRDefault="00981CE6" w:rsidP="00981CE6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981CE6" w:rsidRPr="009F69BD" w:rsidRDefault="00981CE6" w:rsidP="00981CE6">
      <w:pPr>
        <w:ind w:left="360"/>
        <w:jc w:val="both"/>
      </w:pPr>
      <w:r w:rsidRPr="009F69BD">
        <w:t>O tempo de vida de estados eletrônicos meta</w:t>
      </w:r>
      <w:r>
        <w:t>-</w:t>
      </w:r>
      <w:r w:rsidRPr="009F69BD">
        <w:t xml:space="preserve">estáveis de alguns átomos é utilizado na construção de relógios atômicos. Classicamente, pode-se definir o tempo de vida </w:t>
      </w:r>
      <w:r w:rsidRPr="009F69BD">
        <w:rPr>
          <w:position w:val="-6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85pt;height:10.2pt" o:ole="">
            <v:imagedata r:id="rId4" o:title=""/>
          </v:shape>
          <o:OLEObject Type="Embed" ProgID="Equation.DSMT4" ShapeID="_x0000_i1025" DrawAspect="Content" ObjectID="_1536351134" r:id="rId5"/>
        </w:object>
      </w:r>
      <w:r w:rsidRPr="009F69BD">
        <w:t xml:space="preserve"> de uma partícula de massa </w:t>
      </w:r>
      <w:r w:rsidRPr="009F69BD">
        <w:rPr>
          <w:position w:val="-6"/>
        </w:rPr>
        <w:object w:dxaOrig="220" w:dyaOrig="200">
          <v:shape id="_x0000_i1026" type="#_x0000_t75" style="width:11.15pt;height:10.2pt" o:ole="">
            <v:imagedata r:id="rId6" o:title=""/>
          </v:shape>
          <o:OLEObject Type="Embed" ProgID="Equation.DSMT4" ShapeID="_x0000_i1026" DrawAspect="Content" ObjectID="_1536351135" r:id="rId7"/>
        </w:object>
      </w:r>
      <w:r w:rsidRPr="009F69BD">
        <w:t xml:space="preserve"> e carga </w:t>
      </w:r>
      <w:r w:rsidRPr="009F69BD">
        <w:rPr>
          <w:position w:val="-10"/>
        </w:rPr>
        <w:object w:dxaOrig="180" w:dyaOrig="240">
          <v:shape id="_x0000_i1027" type="#_x0000_t75" style="width:8.85pt;height:12.1pt" o:ole="">
            <v:imagedata r:id="rId8" o:title=""/>
          </v:shape>
          <o:OLEObject Type="Embed" ProgID="Equation.DSMT4" ShapeID="_x0000_i1027" DrawAspect="Content" ObjectID="_1536351136" r:id="rId9"/>
        </w:object>
      </w:r>
      <w:r w:rsidRPr="009F69BD">
        <w:t xml:space="preserve">, movendo-se numa órbita circular de raio </w:t>
      </w:r>
      <w:r w:rsidRPr="009F69BD">
        <w:rPr>
          <w:position w:val="-4"/>
        </w:rPr>
        <w:object w:dxaOrig="160" w:dyaOrig="180">
          <v:shape id="_x0000_i1028" type="#_x0000_t75" style="width:7.9pt;height:8.85pt" o:ole="">
            <v:imagedata r:id="rId10" o:title=""/>
          </v:shape>
          <o:OLEObject Type="Embed" ProgID="Equation.DSMT4" ShapeID="_x0000_i1028" DrawAspect="Content" ObjectID="_1536351137" r:id="rId11"/>
        </w:object>
      </w:r>
      <w:r w:rsidRPr="009F69BD">
        <w:t xml:space="preserve"> com aceleração </w:t>
      </w:r>
      <w:r w:rsidRPr="009F69BD">
        <w:rPr>
          <w:position w:val="-6"/>
        </w:rPr>
        <w:object w:dxaOrig="180" w:dyaOrig="200">
          <v:shape id="_x0000_i1029" type="#_x0000_t75" style="width:8.85pt;height:10.2pt" o:ole="">
            <v:imagedata r:id="rId12" o:title=""/>
          </v:shape>
          <o:OLEObject Type="Embed" ProgID="Equation.DSMT4" ShapeID="_x0000_i1029" DrawAspect="Content" ObjectID="_1536351138" r:id="rId13"/>
        </w:object>
      </w:r>
      <w:r w:rsidRPr="009F69BD">
        <w:t xml:space="preserve"> e energia total de módulo </w:t>
      </w:r>
      <w:r w:rsidRPr="009F69BD">
        <w:rPr>
          <w:position w:val="-10"/>
        </w:rPr>
        <w:object w:dxaOrig="240" w:dyaOrig="300">
          <v:shape id="_x0000_i1030" type="#_x0000_t75" style="width:12.1pt;height:14.85pt" o:ole="">
            <v:imagedata r:id="rId14" o:title=""/>
          </v:shape>
          <o:OLEObject Type="Embed" ProgID="Equation.DSMT4" ShapeID="_x0000_i1030" DrawAspect="Content" ObjectID="_1536351139" r:id="rId15"/>
        </w:object>
      </w:r>
      <w:r w:rsidRPr="009F69BD">
        <w:t xml:space="preserve">, como </w:t>
      </w:r>
      <w:r w:rsidRPr="009F69BD">
        <w:rPr>
          <w:position w:val="-26"/>
        </w:rPr>
        <w:object w:dxaOrig="620" w:dyaOrig="600">
          <v:shape id="_x0000_i1031" type="#_x0000_t75" style="width:31.1pt;height:30.2pt" o:ole="">
            <v:imagedata r:id="rId16" o:title=""/>
          </v:shape>
          <o:OLEObject Type="Embed" ProgID="Equation.DSMT4" ShapeID="_x0000_i1031" DrawAspect="Content" ObjectID="_1536351140" r:id="rId17"/>
        </w:object>
      </w:r>
      <w:r w:rsidRPr="009F69BD">
        <w:t xml:space="preserve">, sendo </w:t>
      </w:r>
      <w:r w:rsidRPr="009F69BD">
        <w:rPr>
          <w:position w:val="-10"/>
        </w:rPr>
        <w:object w:dxaOrig="260" w:dyaOrig="300">
          <v:shape id="_x0000_i1032" type="#_x0000_t75" style="width:13pt;height:14.85pt" o:ole="">
            <v:imagedata r:id="rId18" o:title=""/>
          </v:shape>
          <o:OLEObject Type="Embed" ProgID="Equation.DSMT4" ShapeID="_x0000_i1032" DrawAspect="Content" ObjectID="_1536351141" r:id="rId19"/>
        </w:object>
      </w:r>
      <w:r w:rsidRPr="009F69BD">
        <w:t xml:space="preserve">, nessa órbita, a potência irradiada pela carga acelerada, dada pela seguinte equação: </w:t>
      </w:r>
      <w:r w:rsidRPr="009F69BD">
        <w:rPr>
          <w:position w:val="-26"/>
        </w:rPr>
        <w:object w:dxaOrig="2920" w:dyaOrig="660">
          <v:shape id="_x0000_i1033" type="#_x0000_t75" style="width:145.85pt;height:33pt" o:ole="">
            <v:imagedata r:id="rId20" o:title=""/>
          </v:shape>
          <o:OLEObject Type="Embed" ProgID="Equation.DSMT4" ShapeID="_x0000_i1033" DrawAspect="Content" ObjectID="_1536351142" r:id="rId21"/>
        </w:object>
      </w:r>
      <w:r w:rsidRPr="009F69BD">
        <w:t xml:space="preserve">, na qual </w:t>
      </w:r>
      <w:r w:rsidRPr="009F69BD">
        <w:rPr>
          <w:position w:val="-10"/>
        </w:rPr>
        <w:object w:dxaOrig="240" w:dyaOrig="300">
          <v:shape id="_x0000_i1034" type="#_x0000_t75" style="width:12.1pt;height:14.85pt" o:ole="">
            <v:imagedata r:id="rId22" o:title=""/>
          </v:shape>
          <o:OLEObject Type="Embed" ProgID="Equation.DSMT4" ShapeID="_x0000_i1034" DrawAspect="Content" ObjectID="_1536351143" r:id="rId23"/>
        </w:object>
      </w:r>
      <w:r w:rsidRPr="009F69BD">
        <w:t xml:space="preserve"> é a permissividade dielétrica do vácuo e </w:t>
      </w:r>
      <w:r w:rsidRPr="009F69BD">
        <w:rPr>
          <w:position w:val="-6"/>
        </w:rPr>
        <w:object w:dxaOrig="160" w:dyaOrig="200">
          <v:shape id="_x0000_i1035" type="#_x0000_t75" style="width:7.9pt;height:10.2pt" o:ole="">
            <v:imagedata r:id="rId24" o:title=""/>
          </v:shape>
          <o:OLEObject Type="Embed" ProgID="Equation.DSMT4" ShapeID="_x0000_i1035" DrawAspect="Content" ObjectID="_1536351144" r:id="rId25"/>
        </w:object>
      </w:r>
      <w:r w:rsidRPr="009F69BD">
        <w:t xml:space="preserve"> é a velocidade da luz no vácuo.</w:t>
      </w:r>
    </w:p>
    <w:p w:rsidR="00981CE6" w:rsidRPr="009F69BD" w:rsidRDefault="00981CE6" w:rsidP="00981CE6">
      <w:pPr>
        <w:ind w:left="360"/>
        <w:jc w:val="both"/>
      </w:pPr>
      <w:r w:rsidRPr="009F69BD">
        <w:t xml:space="preserve">O modelo de Bohr foi bem sucedido ao fornecer as energias do átomo de hidrogênio, expressas por </w:t>
      </w:r>
      <w:r w:rsidRPr="009F69BD">
        <w:rPr>
          <w:position w:val="-22"/>
        </w:rPr>
        <w:object w:dxaOrig="880" w:dyaOrig="560">
          <v:shape id="_x0000_i1036" type="#_x0000_t75" style="width:44.15pt;height:27.85pt" o:ole="">
            <v:imagedata r:id="rId26" o:title=""/>
          </v:shape>
          <o:OLEObject Type="Embed" ProgID="Equation.DSMT4" ShapeID="_x0000_i1036" DrawAspect="Content" ObjectID="_1536351145" r:id="rId27"/>
        </w:object>
      </w:r>
      <w:r w:rsidRPr="009F69BD">
        <w:t xml:space="preserve">, com raios de órbitas </w:t>
      </w:r>
      <w:r w:rsidRPr="009F69BD">
        <w:rPr>
          <w:position w:val="-10"/>
        </w:rPr>
        <w:object w:dxaOrig="720" w:dyaOrig="320">
          <v:shape id="_x0000_i1037" type="#_x0000_t75" style="width:36.25pt;height:15.8pt" o:ole="">
            <v:imagedata r:id="rId28" o:title=""/>
          </v:shape>
          <o:OLEObject Type="Embed" ProgID="Equation.DSMT4" ShapeID="_x0000_i1037" DrawAspect="Content" ObjectID="_1536351146" r:id="rId29"/>
        </w:object>
      </w:r>
      <w:r w:rsidRPr="009F69BD">
        <w:t>. Para o elétron do átomo de hidrogênio, calcule:</w:t>
      </w:r>
    </w:p>
    <w:p w:rsidR="00981CE6" w:rsidRPr="009F69BD" w:rsidRDefault="00981CE6" w:rsidP="00981CE6">
      <w:pPr>
        <w:ind w:left="720" w:hanging="360"/>
        <w:jc w:val="both"/>
      </w:pPr>
      <w:r w:rsidRPr="009F69BD">
        <w:t>a)</w:t>
      </w:r>
      <w:r w:rsidRPr="009F69BD">
        <w:tab/>
        <w:t>a energia perdida pelo elétron, na transição do primeiro estado excitado par ao estado fundamental; (2,0 pontos)</w:t>
      </w:r>
    </w:p>
    <w:p w:rsidR="00981CE6" w:rsidRPr="009F69BD" w:rsidRDefault="00981CE6" w:rsidP="00981CE6">
      <w:pPr>
        <w:ind w:left="720" w:hanging="12"/>
        <w:jc w:val="both"/>
      </w:pPr>
      <w:r w:rsidRPr="009F69BD">
        <w:t xml:space="preserve">Dados: </w:t>
      </w:r>
      <w:r w:rsidRPr="009F69BD">
        <w:rPr>
          <w:position w:val="-26"/>
        </w:rPr>
        <w:object w:dxaOrig="1740" w:dyaOrig="620">
          <v:shape id="_x0000_i1038" type="#_x0000_t75" style="width:86.85pt;height:31.1pt" o:ole="">
            <v:imagedata r:id="rId30" o:title=""/>
          </v:shape>
          <o:OLEObject Type="Embed" ProgID="Equation.DSMT4" ShapeID="_x0000_i1038" DrawAspect="Content" ObjectID="_1536351147" r:id="rId31"/>
        </w:object>
      </w:r>
      <w:r w:rsidRPr="009F69BD">
        <w:t xml:space="preserve">; </w:t>
      </w:r>
      <w:r w:rsidRPr="009F69BD">
        <w:rPr>
          <w:position w:val="-22"/>
        </w:rPr>
        <w:object w:dxaOrig="2299" w:dyaOrig="580">
          <v:shape id="_x0000_i1039" type="#_x0000_t75" style="width:114.75pt;height:28.8pt" o:ole="">
            <v:imagedata r:id="rId32" o:title=""/>
          </v:shape>
          <o:OLEObject Type="Embed" ProgID="Equation.DSMT4" ShapeID="_x0000_i1039" DrawAspect="Content" ObjectID="_1536351148" r:id="rId33"/>
        </w:object>
      </w:r>
      <w:r w:rsidRPr="009F69BD">
        <w:t xml:space="preserve">; </w:t>
      </w:r>
      <w:r w:rsidRPr="009F69BD">
        <w:rPr>
          <w:position w:val="-28"/>
        </w:rPr>
        <w:object w:dxaOrig="1660" w:dyaOrig="700">
          <v:shape id="_x0000_i1040" type="#_x0000_t75" style="width:83.15pt;height:34.85pt" o:ole="">
            <v:imagedata r:id="rId34" o:title=""/>
          </v:shape>
          <o:OLEObject Type="Embed" ProgID="Equation.DSMT4" ShapeID="_x0000_i1040" DrawAspect="Content" ObjectID="_1536351149" r:id="rId35"/>
        </w:object>
      </w:r>
      <w:r w:rsidRPr="009F69BD">
        <w:t xml:space="preserve">; </w:t>
      </w:r>
      <w:r w:rsidRPr="009F69BD">
        <w:rPr>
          <w:position w:val="-10"/>
        </w:rPr>
        <w:object w:dxaOrig="1480" w:dyaOrig="320">
          <v:shape id="_x0000_i1041" type="#_x0000_t75" style="width:73.85pt;height:15.8pt" o:ole="">
            <v:imagedata r:id="rId36" o:title=""/>
          </v:shape>
          <o:OLEObject Type="Embed" ProgID="Equation.DSMT4" ShapeID="_x0000_i1041" DrawAspect="Content" ObjectID="_1536351150" r:id="rId37"/>
        </w:object>
      </w:r>
      <w:r w:rsidRPr="009F69BD">
        <w:t xml:space="preserve">, onde </w:t>
      </w:r>
      <w:r w:rsidRPr="009F69BD">
        <w:rPr>
          <w:position w:val="-6"/>
        </w:rPr>
        <w:object w:dxaOrig="160" w:dyaOrig="200">
          <v:shape id="_x0000_i1042" type="#_x0000_t75" style="width:7.9pt;height:10.2pt" o:ole="">
            <v:imagedata r:id="rId38" o:title=""/>
          </v:shape>
          <o:OLEObject Type="Embed" ProgID="Equation.DSMT4" ShapeID="_x0000_i1042" DrawAspect="Content" ObjectID="_1536351151" r:id="rId39"/>
        </w:object>
      </w:r>
      <w:r w:rsidRPr="009F69BD">
        <w:t xml:space="preserve"> é a carga do elétron e </w:t>
      </w:r>
      <w:r w:rsidRPr="009F69BD">
        <w:rPr>
          <w:position w:val="-4"/>
        </w:rPr>
        <w:object w:dxaOrig="180" w:dyaOrig="240">
          <v:shape id="_x0000_i1043" type="#_x0000_t75" style="width:8.85pt;height:12.1pt" o:ole="">
            <v:imagedata r:id="rId40" o:title=""/>
          </v:shape>
          <o:OLEObject Type="Embed" ProgID="Equation.DSMT4" ShapeID="_x0000_i1043" DrawAspect="Content" ObjectID="_1536351152" r:id="rId41"/>
        </w:object>
      </w:r>
      <w:r w:rsidRPr="009F69BD">
        <w:t xml:space="preserve"> é a constante de Planck dividida por </w:t>
      </w:r>
      <w:r w:rsidRPr="009F69BD">
        <w:rPr>
          <w:position w:val="-6"/>
        </w:rPr>
        <w:object w:dxaOrig="300" w:dyaOrig="240">
          <v:shape id="_x0000_i1044" type="#_x0000_t75" style="width:14.85pt;height:12.1pt" o:ole="">
            <v:imagedata r:id="rId42" o:title=""/>
          </v:shape>
          <o:OLEObject Type="Embed" ProgID="Equation.DSMT4" ShapeID="_x0000_i1044" DrawAspect="Content" ObjectID="_1536351153" r:id="rId43"/>
        </w:object>
      </w:r>
      <w:r w:rsidRPr="009F69BD">
        <w:t>.</w:t>
      </w:r>
    </w:p>
    <w:p w:rsidR="00981CE6" w:rsidRPr="009F69BD" w:rsidRDefault="00981CE6" w:rsidP="00981CE6">
      <w:pPr>
        <w:ind w:left="720" w:hanging="360"/>
        <w:jc w:val="both"/>
      </w:pPr>
      <w:r w:rsidRPr="009F69BD">
        <w:t>b)</w:t>
      </w:r>
      <w:r w:rsidRPr="009F69BD">
        <w:tab/>
        <w:t>o tempo de meia vida do primeiro estado excitado, usando definição básica. (3,0 pontos)</w:t>
      </w:r>
    </w:p>
    <w:p w:rsidR="00302BE2" w:rsidRPr="00981CE6" w:rsidRDefault="00302BE2" w:rsidP="00981CE6"/>
    <w:sectPr w:rsidR="00302BE2" w:rsidRPr="00981CE6" w:rsidSect="00981C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81CE6"/>
    <w:rsid w:val="000741B5"/>
    <w:rsid w:val="001773BC"/>
    <w:rsid w:val="0023395C"/>
    <w:rsid w:val="00302BE2"/>
    <w:rsid w:val="00981CE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81B85-9446-44DC-B36F-ED9F4A2E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