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4FF" w:rsidRPr="005471F9" w:rsidRDefault="007124FF" w:rsidP="007124FF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124FF" w:rsidRPr="00794D64" w:rsidRDefault="007124FF" w:rsidP="007124FF">
      <w:pPr>
        <w:ind w:left="360"/>
        <w:jc w:val="both"/>
      </w:pPr>
      <w:r w:rsidRPr="00794D64">
        <w:t xml:space="preserve">Sabendo-se que a meia-vida de um nuclídeo radioativo é o tempo necessário para que a taxa de decaimento tenha a metade do seu valor em </w:t>
      </w:r>
      <w:r w:rsidRPr="00794D64">
        <w:rPr>
          <w:position w:val="-6"/>
        </w:rPr>
        <w:object w:dxaOrig="4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9pt;height:12.1pt" o:ole="">
            <v:imagedata r:id="rId4" o:title=""/>
          </v:shape>
          <o:OLEObject Type="Embed" ProgID="Equation.3" ShapeID="_x0000_i1025" DrawAspect="Content" ObjectID="_1536351149" r:id="rId5"/>
        </w:object>
      </w:r>
      <w:r w:rsidRPr="00794D64">
        <w:t xml:space="preserve">, ou seja, </w:t>
      </w:r>
      <w:r w:rsidRPr="00794D64">
        <w:rPr>
          <w:position w:val="-10"/>
        </w:rPr>
        <w:object w:dxaOrig="840" w:dyaOrig="279">
          <v:shape id="_x0000_i1026" type="#_x0000_t75" style="width:41.8pt;height:13.95pt" o:ole="">
            <v:imagedata r:id="rId6" o:title=""/>
          </v:shape>
          <o:OLEObject Type="Embed" ProgID="Equation.3" ShapeID="_x0000_i1026" DrawAspect="Content" ObjectID="_1536351150" r:id="rId7"/>
        </w:object>
      </w:r>
      <w:r w:rsidRPr="00794D64">
        <w:t xml:space="preserve">, o valor da meia-vida para o nuclídeo </w:t>
      </w:r>
      <w:r w:rsidRPr="00794D64">
        <w:rPr>
          <w:position w:val="-4"/>
        </w:rPr>
        <w:object w:dxaOrig="340" w:dyaOrig="279">
          <v:shape id="_x0000_i1027" type="#_x0000_t75" style="width:17.2pt;height:13.95pt" o:ole="">
            <v:imagedata r:id="rId8" o:title=""/>
          </v:shape>
          <o:OLEObject Type="Embed" ProgID="Equation.3" ShapeID="_x0000_i1027" DrawAspect="Content" ObjectID="_1536351151" r:id="rId9"/>
        </w:object>
      </w:r>
      <w:r w:rsidRPr="00794D64">
        <w:t xml:space="preserve"> é igual a, aproximadamente,</w:t>
      </w:r>
    </w:p>
    <w:p w:rsidR="007124FF" w:rsidRPr="005471F9" w:rsidRDefault="007124FF" w:rsidP="007124FF">
      <w:pPr>
        <w:ind w:left="360"/>
        <w:jc w:val="both"/>
      </w:pPr>
      <w:r w:rsidRPr="005471F9">
        <w:t xml:space="preserve">Dado: </w:t>
      </w:r>
      <w:r w:rsidRPr="00794D64">
        <w:rPr>
          <w:position w:val="-8"/>
        </w:rPr>
        <w:object w:dxaOrig="859" w:dyaOrig="260">
          <v:shape id="_x0000_i1028" type="#_x0000_t75" style="width:42.75pt;height:13pt" o:ole="">
            <v:imagedata r:id="rId10" o:title=""/>
          </v:shape>
          <o:OLEObject Type="Embed" ProgID="Equation.3" ShapeID="_x0000_i1028" DrawAspect="Content" ObjectID="_1536351152" r:id="rId11"/>
        </w:object>
      </w:r>
    </w:p>
    <w:p w:rsidR="007124FF" w:rsidRPr="005471F9" w:rsidRDefault="007124FF" w:rsidP="007124FF">
      <w:pPr>
        <w:ind w:left="720" w:hanging="360"/>
        <w:jc w:val="both"/>
      </w:pPr>
      <w:r w:rsidRPr="005471F9">
        <w:t>a)</w:t>
      </w:r>
      <w:r w:rsidRPr="005471F9">
        <w:tab/>
        <w:t>20 min.</w:t>
      </w:r>
    </w:p>
    <w:p w:rsidR="007124FF" w:rsidRPr="005471F9" w:rsidRDefault="007124FF" w:rsidP="007124FF">
      <w:pPr>
        <w:ind w:left="720" w:hanging="360"/>
        <w:jc w:val="both"/>
      </w:pPr>
      <w:r w:rsidRPr="005471F9">
        <w:t>b)</w:t>
      </w:r>
      <w:r w:rsidRPr="005471F9">
        <w:tab/>
        <w:t>25 min.</w:t>
      </w:r>
    </w:p>
    <w:p w:rsidR="007124FF" w:rsidRPr="00794D64" w:rsidRDefault="007124FF" w:rsidP="007124FF">
      <w:pPr>
        <w:ind w:left="720" w:hanging="360"/>
        <w:jc w:val="both"/>
        <w:rPr>
          <w:lang w:val="en-US"/>
        </w:rPr>
      </w:pPr>
      <w:r w:rsidRPr="00794D64">
        <w:rPr>
          <w:lang w:val="en-US"/>
        </w:rPr>
        <w:t>c)</w:t>
      </w:r>
      <w:r w:rsidRPr="00794D64">
        <w:rPr>
          <w:lang w:val="en-US"/>
        </w:rPr>
        <w:tab/>
        <w:t>15 min.</w:t>
      </w:r>
    </w:p>
    <w:p w:rsidR="007124FF" w:rsidRPr="00794D64" w:rsidRDefault="007124FF" w:rsidP="007124FF">
      <w:pPr>
        <w:ind w:left="720" w:hanging="360"/>
        <w:jc w:val="both"/>
        <w:rPr>
          <w:lang w:val="en-US"/>
        </w:rPr>
      </w:pPr>
      <w:r w:rsidRPr="00794D64">
        <w:rPr>
          <w:lang w:val="en-US"/>
        </w:rPr>
        <w:t>d)</w:t>
      </w:r>
      <w:r w:rsidRPr="00794D64">
        <w:rPr>
          <w:lang w:val="en-US"/>
        </w:rPr>
        <w:tab/>
        <w:t>10 min.</w:t>
      </w:r>
    </w:p>
    <w:p w:rsidR="00302BE2" w:rsidRPr="007124FF" w:rsidRDefault="00302BE2" w:rsidP="007124FF"/>
    <w:sectPr w:rsidR="00302BE2" w:rsidRPr="007124FF" w:rsidSect="00712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24FF"/>
    <w:rsid w:val="001773BC"/>
    <w:rsid w:val="0023395C"/>
    <w:rsid w:val="00302BE2"/>
    <w:rsid w:val="005E49B5"/>
    <w:rsid w:val="007124F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CC56D-63C0-43B5-9F63-307ED658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