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A3" w:rsidRDefault="008B1CA3">
      <w:pPr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8B1CA3" w:rsidRPr="00DA629C" w:rsidRDefault="008B1CA3" w:rsidP="008B1CA3">
      <w:pPr>
        <w:ind w:left="360"/>
        <w:jc w:val="both"/>
      </w:pPr>
      <w:r w:rsidRPr="00DA629C">
        <w:t>Na célula vegetal fotossintetizante existem dois tipos de fotossistemas que são ativados por diferentes bandas da luz visível, um deles, PSI, é ativado com luz de 700nm, o outro, PSII, é ativado com luz de 680nm. Sabe–se que a reação que produz oxigênio está associada ao PSII. Considerando o exposto, conclui–se que o nome dessa reação e a energia (em Joules) associada ao fóton de luz que é absorvido são, respectivamente,</w:t>
      </w:r>
    </w:p>
    <w:p w:rsidR="008B1CA3" w:rsidRPr="00DA629C" w:rsidRDefault="008B1CA3" w:rsidP="008B1CA3">
      <w:pPr>
        <w:ind w:left="360" w:hanging="360"/>
        <w:jc w:val="both"/>
      </w:pPr>
    </w:p>
    <w:p w:rsidR="008B1CA3" w:rsidRPr="00DA629C" w:rsidRDefault="008B1CA3" w:rsidP="008B1CA3">
      <w:pPr>
        <w:ind w:left="720" w:hanging="360"/>
        <w:jc w:val="both"/>
      </w:pPr>
      <w:r w:rsidRPr="00DA629C">
        <w:t>a)</w:t>
      </w:r>
      <w:r w:rsidRPr="00DA629C">
        <w:tab/>
        <w:t>descarboxilação oxidativa, 2,9 x 10</w:t>
      </w:r>
      <w:r w:rsidRPr="00DA629C">
        <w:rPr>
          <w:vertAlign w:val="superscript"/>
        </w:rPr>
        <w:t>–19</w:t>
      </w:r>
    </w:p>
    <w:p w:rsidR="008B1CA3" w:rsidRPr="00DA629C" w:rsidRDefault="008B1CA3" w:rsidP="008B1CA3">
      <w:pPr>
        <w:ind w:left="720" w:hanging="360"/>
        <w:jc w:val="both"/>
      </w:pPr>
      <w:r w:rsidRPr="00DA629C">
        <w:t>b)</w:t>
      </w:r>
      <w:r w:rsidRPr="00DA629C">
        <w:tab/>
        <w:t>fotólise da água, 2,9 x 10</w:t>
      </w:r>
      <w:r w:rsidRPr="00DA629C">
        <w:rPr>
          <w:vertAlign w:val="superscript"/>
        </w:rPr>
        <w:t>–19</w:t>
      </w:r>
    </w:p>
    <w:p w:rsidR="008B1CA3" w:rsidRPr="00DA629C" w:rsidRDefault="008B1CA3" w:rsidP="008B1CA3">
      <w:pPr>
        <w:ind w:left="720" w:hanging="360"/>
        <w:jc w:val="both"/>
      </w:pPr>
      <w:r w:rsidRPr="00DA629C">
        <w:t>c)</w:t>
      </w:r>
      <w:r w:rsidRPr="00DA629C">
        <w:tab/>
        <w:t>fotofosforilação cíclica, 2,8 x 10</w:t>
      </w:r>
      <w:r w:rsidRPr="00DA629C">
        <w:rPr>
          <w:vertAlign w:val="superscript"/>
        </w:rPr>
        <w:t>–19</w:t>
      </w:r>
    </w:p>
    <w:p w:rsidR="008B1CA3" w:rsidRPr="00DA629C" w:rsidRDefault="008B1CA3" w:rsidP="008B1CA3">
      <w:pPr>
        <w:ind w:left="720" w:hanging="360"/>
        <w:jc w:val="both"/>
      </w:pPr>
      <w:r w:rsidRPr="00DA629C">
        <w:t>d)</w:t>
      </w:r>
      <w:r w:rsidRPr="00DA629C">
        <w:tab/>
        <w:t>fotólise da água, 2,8 x 10</w:t>
      </w:r>
      <w:r w:rsidRPr="00DA629C">
        <w:rPr>
          <w:vertAlign w:val="superscript"/>
        </w:rPr>
        <w:t>–19</w:t>
      </w:r>
    </w:p>
    <w:p w:rsidR="008B1CA3" w:rsidRPr="00DA629C" w:rsidRDefault="008B1CA3" w:rsidP="008B1CA3">
      <w:pPr>
        <w:ind w:left="720" w:hanging="360"/>
        <w:jc w:val="both"/>
      </w:pPr>
      <w:r w:rsidRPr="00DA629C">
        <w:t>e)</w:t>
      </w:r>
      <w:r w:rsidRPr="00DA629C">
        <w:tab/>
        <w:t>descarboxilação oxidativa, 2,8 x 10</w:t>
      </w:r>
      <w:r w:rsidRPr="00DA629C">
        <w:rPr>
          <w:vertAlign w:val="superscript"/>
        </w:rPr>
        <w:t>–19</w:t>
      </w:r>
    </w:p>
    <w:p w:rsidR="008B1CA3" w:rsidRPr="00DA629C" w:rsidRDefault="008B1CA3" w:rsidP="008B1CA3">
      <w:pPr>
        <w:ind w:left="360" w:hanging="360"/>
        <w:jc w:val="both"/>
      </w:pPr>
    </w:p>
    <w:p w:rsidR="008B1CA3" w:rsidRPr="00DA629C" w:rsidRDefault="008B1CA3" w:rsidP="008B1CA3">
      <w:pPr>
        <w:ind w:left="360"/>
        <w:jc w:val="both"/>
      </w:pPr>
      <w:r w:rsidRPr="00DA629C">
        <w:t>Dados:</w:t>
      </w:r>
    </w:p>
    <w:p w:rsidR="008B1CA3" w:rsidRPr="00DA629C" w:rsidRDefault="008B1CA3" w:rsidP="008B1CA3">
      <w:pPr>
        <w:ind w:left="360"/>
        <w:jc w:val="both"/>
      </w:pPr>
      <w:r w:rsidRPr="00DA629C">
        <w:t xml:space="preserve">Constante de Planck </w:t>
      </w:r>
      <w:r w:rsidRPr="00DA629C">
        <w:rPr>
          <w:position w:val="-8"/>
        </w:rPr>
        <w:object w:dxaOrig="1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9pt;height:15.8pt" o:ole="">
            <v:imagedata r:id="rId4" o:title=""/>
          </v:shape>
          <o:OLEObject Type="Embed" ProgID="Equation.3" ShapeID="_x0000_i1025" DrawAspect="Content" ObjectID="_1536351178" r:id="rId5"/>
        </w:object>
      </w:r>
    </w:p>
    <w:p w:rsidR="008B1CA3" w:rsidRPr="00DA629C" w:rsidRDefault="008B1CA3" w:rsidP="008B1CA3">
      <w:pPr>
        <w:ind w:left="360"/>
        <w:jc w:val="both"/>
      </w:pPr>
      <w:r w:rsidRPr="00DA629C">
        <w:t xml:space="preserve">Velocidade da luz no vácuo </w:t>
      </w:r>
      <w:r w:rsidRPr="00DA629C">
        <w:rPr>
          <w:position w:val="-6"/>
        </w:rPr>
        <w:object w:dxaOrig="1140" w:dyaOrig="300">
          <v:shape id="_x0000_i1026" type="#_x0000_t75" style="width:57.15pt;height:14.85pt" o:ole="">
            <v:imagedata r:id="rId6" o:title=""/>
          </v:shape>
          <o:OLEObject Type="Embed" ProgID="Equation.3" ShapeID="_x0000_i1026" DrawAspect="Content" ObjectID="_1536351179" r:id="rId7"/>
        </w:object>
      </w:r>
    </w:p>
    <w:p w:rsidR="008B1CA3" w:rsidRPr="00DA629C" w:rsidRDefault="008B1CA3" w:rsidP="008B1CA3">
      <w:pPr>
        <w:ind w:left="360"/>
        <w:jc w:val="both"/>
      </w:pPr>
      <w:r w:rsidRPr="00DA629C">
        <w:t>E=hf, em que f é frequência da luz</w:t>
      </w:r>
    </w:p>
    <w:p w:rsidR="00302BE2" w:rsidRPr="008B1CA3" w:rsidRDefault="00302BE2" w:rsidP="008B1CA3"/>
    <w:sectPr w:rsidR="00302BE2" w:rsidRPr="008B1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1CA3"/>
    <w:rsid w:val="001773BC"/>
    <w:rsid w:val="0023395C"/>
    <w:rsid w:val="00302BE2"/>
    <w:rsid w:val="008B1CA3"/>
    <w:rsid w:val="009C3E6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50AB5-3D32-4C9D-AF94-F8088123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