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0E" w:rsidRDefault="00F5270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5270E" w:rsidRPr="00D0059E" w:rsidRDefault="00F5270E" w:rsidP="00F5270E">
      <w:pPr>
        <w:ind w:left="360"/>
        <w:jc w:val="both"/>
      </w:pPr>
      <w:r w:rsidRPr="00D0059E">
        <w:t>A figura ao lado mostra um vagão aberto que se move com velocidade de módulo V em relação a um sistema de referência fixo no solo. Dentro do vagão existe uma lâmpada que emite luz uniformemente em todas as direções. Em relação ao vagão, o módulo da velocidade de propagação da luz é c. Para uma pessoa parada em relação ao solo, na frente do vagão, o módulo da velocidade de propagação da luz emitida pela fonte será:</w:t>
      </w:r>
    </w:p>
    <w:p w:rsidR="00F5270E" w:rsidRPr="00D0059E" w:rsidRDefault="00F5270E" w:rsidP="00F5270E">
      <w:pPr>
        <w:ind w:left="360" w:hanging="360"/>
        <w:jc w:val="both"/>
      </w:pPr>
    </w:p>
    <w:p w:rsidR="00F5270E" w:rsidRPr="00D0059E" w:rsidRDefault="00F5270E" w:rsidP="00F5270E">
      <w:pPr>
        <w:ind w:left="360" w:hanging="360"/>
        <w:jc w:val="center"/>
      </w:pPr>
      <w:r w:rsidRPr="00D005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6pt;height:73.85pt">
            <v:imagedata r:id="rId4" o:title="" gain="142470f" blacklevel="-5898f" grayscale="t"/>
          </v:shape>
        </w:pict>
      </w:r>
    </w:p>
    <w:p w:rsidR="00F5270E" w:rsidRPr="00D0059E" w:rsidRDefault="00F5270E" w:rsidP="00F5270E">
      <w:pPr>
        <w:ind w:left="360" w:hanging="360"/>
        <w:jc w:val="both"/>
      </w:pPr>
    </w:p>
    <w:p w:rsidR="00F5270E" w:rsidRPr="00D0059E" w:rsidRDefault="00F5270E" w:rsidP="00F5270E">
      <w:pPr>
        <w:ind w:left="720" w:hanging="360"/>
        <w:jc w:val="both"/>
      </w:pPr>
      <w:r w:rsidRPr="00D0059E">
        <w:t>a)</w:t>
      </w:r>
      <w:r w:rsidRPr="00D0059E">
        <w:tab/>
        <w:t>c</w:t>
      </w:r>
    </w:p>
    <w:p w:rsidR="00F5270E" w:rsidRPr="00D0059E" w:rsidRDefault="00F5270E" w:rsidP="00F5270E">
      <w:pPr>
        <w:ind w:left="720" w:hanging="360"/>
        <w:jc w:val="both"/>
      </w:pPr>
      <w:r w:rsidRPr="00D0059E">
        <w:t>b)</w:t>
      </w:r>
      <w:r w:rsidRPr="00D0059E">
        <w:tab/>
        <w:t>c + V</w:t>
      </w:r>
    </w:p>
    <w:p w:rsidR="00F5270E" w:rsidRPr="00D0059E" w:rsidRDefault="00F5270E" w:rsidP="00F5270E">
      <w:pPr>
        <w:ind w:left="720" w:hanging="360"/>
        <w:jc w:val="both"/>
      </w:pPr>
      <w:r w:rsidRPr="00D0059E">
        <w:t>c)</w:t>
      </w:r>
      <w:r w:rsidRPr="00D0059E">
        <w:tab/>
        <w:t>c − V</w:t>
      </w:r>
    </w:p>
    <w:p w:rsidR="00F5270E" w:rsidRPr="0076089B" w:rsidRDefault="00F5270E" w:rsidP="00F5270E">
      <w:pPr>
        <w:ind w:left="720" w:hanging="360"/>
        <w:jc w:val="both"/>
      </w:pPr>
      <w:r w:rsidRPr="00D0059E">
        <w:t>d)</w:t>
      </w:r>
      <w:r w:rsidRPr="00D0059E">
        <w:tab/>
      </w:r>
      <w:r w:rsidRPr="00D0059E">
        <w:rPr>
          <w:position w:val="-20"/>
        </w:rPr>
        <w:object w:dxaOrig="499" w:dyaOrig="499">
          <v:shape id="_x0000_i1026" type="#_x0000_t75" style="width:25.1pt;height:25.1pt" o:ole="">
            <v:imagedata r:id="rId5" o:title=""/>
          </v:shape>
          <o:OLEObject Type="Embed" ProgID="Equation.3" ShapeID="_x0000_i1026" DrawAspect="Content" ObjectID="_1536687405" r:id="rId6"/>
        </w:object>
      </w:r>
    </w:p>
    <w:p w:rsidR="00302BE2" w:rsidRPr="00F5270E" w:rsidRDefault="00302BE2" w:rsidP="00F5270E"/>
    <w:sectPr w:rsidR="00302BE2" w:rsidRPr="00F52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270E"/>
    <w:rsid w:val="001773BC"/>
    <w:rsid w:val="0023395C"/>
    <w:rsid w:val="00302BE2"/>
    <w:rsid w:val="00A85FE6"/>
    <w:rsid w:val="00D969A5"/>
    <w:rsid w:val="00F5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6F2DE-794D-4531-9A77-5F56100C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