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4CC" w:rsidRDefault="007B74CC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7B74CC" w:rsidRPr="0075144A" w:rsidRDefault="007B74CC" w:rsidP="007B74CC">
      <w:pPr>
        <w:autoSpaceDE w:val="0"/>
        <w:autoSpaceDN w:val="0"/>
        <w:adjustRightInd w:val="0"/>
        <w:ind w:left="420"/>
        <w:jc w:val="both"/>
      </w:pPr>
      <w:r w:rsidRPr="0075144A">
        <w:t>Uma população humana foi acidentalmente exposta à radiação gama, cujas ondas são eletromagnéticas de grande frequência e equivalem a pequenos comprimentos de onda. A exposição foi letal em aproximadamente 20% da população, e os sobreviventes foram monitorados por equipe médica especializada durante décadas. Sobre os efeitos da radiação sobre os indivíduos envolvidos nesse acidente, é CORRETO afirmar:</w:t>
      </w:r>
    </w:p>
    <w:p w:rsidR="007B74CC" w:rsidRPr="0075144A" w:rsidRDefault="007B74CC" w:rsidP="007B74CC">
      <w:pPr>
        <w:autoSpaceDE w:val="0"/>
        <w:autoSpaceDN w:val="0"/>
        <w:adjustRightInd w:val="0"/>
        <w:ind w:left="420" w:hanging="420"/>
        <w:jc w:val="both"/>
      </w:pPr>
    </w:p>
    <w:p w:rsidR="007B74CC" w:rsidRPr="0075144A" w:rsidRDefault="007B74CC" w:rsidP="007B74CC">
      <w:pPr>
        <w:autoSpaceDE w:val="0"/>
        <w:autoSpaceDN w:val="0"/>
        <w:adjustRightInd w:val="0"/>
        <w:ind w:left="840" w:hanging="420"/>
        <w:jc w:val="both"/>
      </w:pPr>
      <w:r w:rsidRPr="0075144A">
        <w:t>a)</w:t>
      </w:r>
      <w:r w:rsidRPr="0075144A">
        <w:tab/>
        <w:t>a massa das partículas eletromagnéticas causou desvio nas ondas e, consequentemente, baixo poder de penetração na matéria biológica exposta.</w:t>
      </w:r>
    </w:p>
    <w:p w:rsidR="007B74CC" w:rsidRPr="0075144A" w:rsidRDefault="007B74CC" w:rsidP="007B74CC">
      <w:pPr>
        <w:autoSpaceDE w:val="0"/>
        <w:autoSpaceDN w:val="0"/>
        <w:adjustRightInd w:val="0"/>
        <w:ind w:left="840" w:hanging="420"/>
        <w:jc w:val="both"/>
      </w:pPr>
      <w:r w:rsidRPr="0075144A">
        <w:t>b)</w:t>
      </w:r>
      <w:r w:rsidRPr="0075144A">
        <w:tab/>
        <w:t>lesões por queimadura e desidratação foram a principal causa de letalidade, enquanto as mutações foram potencialmente danosas a prazo mais longo.</w:t>
      </w:r>
    </w:p>
    <w:p w:rsidR="007B74CC" w:rsidRPr="0075144A" w:rsidRDefault="007B74CC" w:rsidP="007B74CC">
      <w:pPr>
        <w:autoSpaceDE w:val="0"/>
        <w:autoSpaceDN w:val="0"/>
        <w:adjustRightInd w:val="0"/>
        <w:ind w:left="840" w:hanging="420"/>
        <w:jc w:val="both"/>
      </w:pPr>
      <w:r w:rsidRPr="0075144A">
        <w:t>c)</w:t>
      </w:r>
      <w:r w:rsidRPr="0075144A">
        <w:tab/>
        <w:t>mutações genéticas ocorreram por ionização da matéria, alterando o comportamento dos alelos em uma população e impedindo a evolução por desequilíbrio gênico.</w:t>
      </w:r>
    </w:p>
    <w:p w:rsidR="007B74CC" w:rsidRPr="0075144A" w:rsidRDefault="007B74CC" w:rsidP="007B74CC">
      <w:pPr>
        <w:autoSpaceDE w:val="0"/>
        <w:autoSpaceDN w:val="0"/>
        <w:adjustRightInd w:val="0"/>
        <w:ind w:left="840" w:hanging="420"/>
        <w:jc w:val="both"/>
      </w:pPr>
      <w:r w:rsidRPr="0075144A">
        <w:t>d)</w:t>
      </w:r>
      <w:r w:rsidRPr="0075144A">
        <w:tab/>
        <w:t>a baixa capacidade de penetração dessas ondas eletromagnéticas minimizou os danos genéticos no núcleo celular, sem alteração significativa das frequências alélicas.</w:t>
      </w:r>
    </w:p>
    <w:p w:rsidR="007B74CC" w:rsidRPr="007B74CC" w:rsidRDefault="007B74CC" w:rsidP="007B74CC"/>
    <w:sectPr w:rsidR="007B74CC" w:rsidRPr="007B74CC" w:rsidSect="007B7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74CC"/>
    <w:rsid w:val="003D2542"/>
    <w:rsid w:val="007B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66CAC-F602-4F19-BE26-11FF32E9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Jacques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