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CB" w:rsidRDefault="007227C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227CB" w:rsidRPr="009B4381" w:rsidRDefault="007227CB" w:rsidP="007227CB">
      <w:pPr>
        <w:autoSpaceDE w:val="0"/>
        <w:autoSpaceDN w:val="0"/>
        <w:adjustRightInd w:val="0"/>
        <w:ind w:left="420"/>
        <w:jc w:val="both"/>
      </w:pPr>
      <w:r w:rsidRPr="009B4381">
        <w:t>O efeito fotoelétrico, interpretado corretamente pelo físico Albert Einstein, em 1905, enuncia que uma luz incidente sobre a superfície de determinados metais pode arrancar elétrons dessa superfície por causa da interação entre a radiação e a matéria, caracterizada pela absorção dos fótons e pela liberação de elétrons. A respeito da interpretação de Einstein sobre o efeito fotoelétrico, é CORRETO afirmar:</w:t>
      </w:r>
    </w:p>
    <w:p w:rsidR="007227CB" w:rsidRPr="009B4381" w:rsidRDefault="007227CB" w:rsidP="007227CB">
      <w:pPr>
        <w:autoSpaceDE w:val="0"/>
        <w:autoSpaceDN w:val="0"/>
        <w:adjustRightInd w:val="0"/>
        <w:ind w:left="420" w:hanging="420"/>
        <w:jc w:val="both"/>
      </w:pPr>
    </w:p>
    <w:p w:rsidR="007227CB" w:rsidRPr="009B4381" w:rsidRDefault="007227CB" w:rsidP="007227CB">
      <w:pPr>
        <w:autoSpaceDE w:val="0"/>
        <w:autoSpaceDN w:val="0"/>
        <w:adjustRightInd w:val="0"/>
        <w:ind w:left="840" w:hanging="420"/>
        <w:jc w:val="both"/>
      </w:pPr>
      <w:r w:rsidRPr="009B4381">
        <w:t>a)</w:t>
      </w:r>
      <w:r w:rsidRPr="009B4381">
        <w:tab/>
        <w:t>a luz incidente no metal é composta por fótons dotados de uma energia dada pelo comprimento de onda da luz vezes a constante de Planck.</w:t>
      </w:r>
    </w:p>
    <w:p w:rsidR="007227CB" w:rsidRPr="009B4381" w:rsidRDefault="007227CB" w:rsidP="007227CB">
      <w:pPr>
        <w:autoSpaceDE w:val="0"/>
        <w:autoSpaceDN w:val="0"/>
        <w:adjustRightInd w:val="0"/>
        <w:ind w:left="840" w:hanging="420"/>
        <w:jc w:val="both"/>
      </w:pPr>
      <w:r w:rsidRPr="009B4381">
        <w:t>b)</w:t>
      </w:r>
      <w:r w:rsidRPr="009B4381">
        <w:tab/>
        <w:t>existe uma frequência-limite abaixo da qual esse efeito não ocorre, mesmo que se aumente consideravelmente a intensidade da luz incidente sobre o metal.</w:t>
      </w:r>
    </w:p>
    <w:p w:rsidR="007227CB" w:rsidRPr="009B4381" w:rsidRDefault="007227CB" w:rsidP="007227CB">
      <w:pPr>
        <w:autoSpaceDE w:val="0"/>
        <w:autoSpaceDN w:val="0"/>
        <w:adjustRightInd w:val="0"/>
        <w:ind w:left="840" w:hanging="420"/>
        <w:jc w:val="both"/>
      </w:pPr>
      <w:r w:rsidRPr="009B4381">
        <w:t>c)</w:t>
      </w:r>
      <w:r w:rsidRPr="009B4381">
        <w:tab/>
        <w:t>ocorre um espalhamento por um elétron devido à colisão com um fóton de momento linear igual à constante de Planck dividida pelo comprimento de onda da luz.</w:t>
      </w:r>
    </w:p>
    <w:p w:rsidR="007227CB" w:rsidRPr="009B4381" w:rsidRDefault="007227CB" w:rsidP="007227CB">
      <w:pPr>
        <w:autoSpaceDE w:val="0"/>
        <w:autoSpaceDN w:val="0"/>
        <w:adjustRightInd w:val="0"/>
        <w:ind w:left="840" w:hanging="420"/>
        <w:jc w:val="both"/>
      </w:pPr>
      <w:r w:rsidRPr="009B4381">
        <w:t>d)</w:t>
      </w:r>
      <w:r w:rsidRPr="009B4381">
        <w:tab/>
        <w:t>todos os metais possuem a mesma função trabalho, que é responsável pela ejeção dos elétrons cinéticos do metal.</w:t>
      </w:r>
    </w:p>
    <w:p w:rsidR="00302BE2" w:rsidRPr="007227CB" w:rsidRDefault="00302BE2" w:rsidP="007227CB"/>
    <w:sectPr w:rsidR="00302BE2" w:rsidRPr="007227CB" w:rsidSect="0072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7CB"/>
    <w:rsid w:val="0009584A"/>
    <w:rsid w:val="001773BC"/>
    <w:rsid w:val="0023395C"/>
    <w:rsid w:val="00302BE2"/>
    <w:rsid w:val="007227C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D216D-6E93-41C5-8E32-80A726D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