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CB5" w:rsidRDefault="00346CB5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346CB5" w:rsidRPr="0027711F" w:rsidRDefault="00346CB5" w:rsidP="00346CB5">
      <w:pPr>
        <w:pStyle w:val="Default"/>
        <w:ind w:left="420"/>
        <w:jc w:val="both"/>
        <w:rPr>
          <w:rFonts w:ascii="Times New Roman" w:hAnsi="Times New Roman" w:cs="Times New Roman"/>
          <w:sz w:val="18"/>
          <w:szCs w:val="18"/>
        </w:rPr>
      </w:pPr>
      <w:r w:rsidRPr="0027711F">
        <w:rPr>
          <w:rFonts w:ascii="Times New Roman" w:hAnsi="Times New Roman" w:cs="Times New Roman"/>
          <w:sz w:val="18"/>
          <w:szCs w:val="18"/>
        </w:rPr>
        <w:t xml:space="preserve">Descoberto independentemente pelo russo Alexandre Stoletov, em 1872, e pelo alemão Heirich Hertz, em 1887, o efeito fotoelétrico tem atualmente várias aplicações tecnológicas principalmente na automação eletro mecânica, tais como: portas automáticas, dispositivos de segurança de máquinas e controle de iluminação. </w:t>
      </w:r>
    </w:p>
    <w:p w:rsidR="00346CB5" w:rsidRPr="0027711F" w:rsidRDefault="00346CB5" w:rsidP="00346CB5">
      <w:pPr>
        <w:pStyle w:val="Default"/>
        <w:ind w:left="420"/>
        <w:jc w:val="both"/>
        <w:rPr>
          <w:rFonts w:ascii="Times New Roman" w:hAnsi="Times New Roman" w:cs="Times New Roman"/>
          <w:sz w:val="18"/>
          <w:szCs w:val="18"/>
        </w:rPr>
      </w:pPr>
      <w:r w:rsidRPr="0027711F">
        <w:rPr>
          <w:rFonts w:ascii="Times New Roman" w:hAnsi="Times New Roman" w:cs="Times New Roman"/>
          <w:sz w:val="18"/>
          <w:szCs w:val="18"/>
        </w:rPr>
        <w:t xml:space="preserve">Fundamentalmente, o efeito fotoelétrico consiste na emissão de elétrons por superfícies metálicas quando iluminadas por radiação eletromagnética. </w:t>
      </w:r>
    </w:p>
    <w:p w:rsidR="00346CB5" w:rsidRPr="0027711F" w:rsidRDefault="00346CB5" w:rsidP="00346CB5">
      <w:pPr>
        <w:pStyle w:val="Default"/>
        <w:ind w:left="420" w:hanging="420"/>
        <w:jc w:val="both"/>
        <w:rPr>
          <w:rFonts w:ascii="Times New Roman" w:hAnsi="Times New Roman" w:cs="Times New Roman"/>
          <w:sz w:val="18"/>
          <w:szCs w:val="18"/>
        </w:rPr>
      </w:pPr>
    </w:p>
    <w:p w:rsidR="00346CB5" w:rsidRPr="0027711F" w:rsidRDefault="00346CB5" w:rsidP="00346CB5">
      <w:pPr>
        <w:pStyle w:val="Default"/>
        <w:ind w:left="420"/>
        <w:jc w:val="both"/>
        <w:rPr>
          <w:rFonts w:ascii="Times New Roman" w:hAnsi="Times New Roman" w:cs="Times New Roman"/>
          <w:sz w:val="18"/>
          <w:szCs w:val="18"/>
        </w:rPr>
      </w:pPr>
      <w:r w:rsidRPr="0027711F">
        <w:rPr>
          <w:rFonts w:ascii="Times New Roman" w:hAnsi="Times New Roman" w:cs="Times New Roman"/>
          <w:sz w:val="18"/>
          <w:szCs w:val="18"/>
        </w:rPr>
        <w:t xml:space="preserve">Dentre as principais características observadas experimentalmente, destacamos: </w:t>
      </w:r>
    </w:p>
    <w:p w:rsidR="00346CB5" w:rsidRPr="0027711F" w:rsidRDefault="00346CB5" w:rsidP="00346CB5">
      <w:pPr>
        <w:pStyle w:val="Default"/>
        <w:ind w:left="840" w:hanging="420"/>
        <w:jc w:val="both"/>
        <w:rPr>
          <w:rFonts w:ascii="Times New Roman" w:hAnsi="Times New Roman" w:cs="Times New Roman"/>
          <w:sz w:val="18"/>
          <w:szCs w:val="18"/>
        </w:rPr>
      </w:pPr>
      <w:r w:rsidRPr="0027711F">
        <w:rPr>
          <w:rFonts w:ascii="Times New Roman" w:hAnsi="Times New Roman" w:cs="Times New Roman"/>
          <w:iCs/>
          <w:sz w:val="18"/>
          <w:szCs w:val="18"/>
        </w:rPr>
        <w:t>1.</w:t>
      </w:r>
      <w:r w:rsidRPr="0027711F">
        <w:rPr>
          <w:rFonts w:ascii="Times New Roman" w:hAnsi="Times New Roman" w:cs="Times New Roman"/>
          <w:iCs/>
          <w:sz w:val="18"/>
          <w:szCs w:val="18"/>
        </w:rPr>
        <w:tab/>
      </w:r>
      <w:r w:rsidRPr="0027711F">
        <w:rPr>
          <w:rFonts w:ascii="Times New Roman" w:hAnsi="Times New Roman" w:cs="Times New Roman"/>
          <w:sz w:val="18"/>
          <w:szCs w:val="18"/>
        </w:rPr>
        <w:t xml:space="preserve">Por menor que seja a intensidade da radiação causadora do fenômeno, o intervalo de tempo entre a incidência da radiação e o aparecimento da corrente gerada pelos elétrons emitidos é totalmente desprezível, isto é, o efeito é praticamente instantâneo. </w:t>
      </w:r>
    </w:p>
    <w:p w:rsidR="00346CB5" w:rsidRPr="0027711F" w:rsidRDefault="00346CB5" w:rsidP="00346CB5">
      <w:pPr>
        <w:pStyle w:val="Default"/>
        <w:ind w:left="840" w:hanging="420"/>
        <w:jc w:val="both"/>
        <w:rPr>
          <w:rFonts w:ascii="Times New Roman" w:hAnsi="Times New Roman" w:cs="Times New Roman"/>
          <w:sz w:val="18"/>
          <w:szCs w:val="18"/>
        </w:rPr>
      </w:pPr>
      <w:r w:rsidRPr="0027711F">
        <w:rPr>
          <w:rFonts w:ascii="Times New Roman" w:hAnsi="Times New Roman" w:cs="Times New Roman"/>
          <w:iCs/>
          <w:sz w:val="18"/>
          <w:szCs w:val="18"/>
        </w:rPr>
        <w:t>2.</w:t>
      </w:r>
      <w:r w:rsidRPr="0027711F">
        <w:rPr>
          <w:rFonts w:ascii="Times New Roman" w:hAnsi="Times New Roman" w:cs="Times New Roman"/>
          <w:iCs/>
          <w:sz w:val="18"/>
          <w:szCs w:val="18"/>
        </w:rPr>
        <w:tab/>
      </w:r>
      <w:r w:rsidRPr="0027711F">
        <w:rPr>
          <w:rFonts w:ascii="Times New Roman" w:hAnsi="Times New Roman" w:cs="Times New Roman"/>
          <w:sz w:val="18"/>
          <w:szCs w:val="18"/>
        </w:rPr>
        <w:t xml:space="preserve">Para cada superfície metálica específica, existe uma frequência mínima, chamada “frequência de corte”, a partir da qual se verifica o fenômeno. </w:t>
      </w:r>
    </w:p>
    <w:p w:rsidR="00346CB5" w:rsidRPr="0027711F" w:rsidRDefault="00346CB5" w:rsidP="00346CB5">
      <w:pPr>
        <w:pStyle w:val="Default"/>
        <w:ind w:left="840" w:hanging="420"/>
        <w:jc w:val="both"/>
        <w:rPr>
          <w:rFonts w:ascii="Times New Roman" w:hAnsi="Times New Roman" w:cs="Times New Roman"/>
          <w:sz w:val="18"/>
          <w:szCs w:val="18"/>
        </w:rPr>
      </w:pPr>
      <w:r w:rsidRPr="0027711F">
        <w:rPr>
          <w:rFonts w:ascii="Times New Roman" w:hAnsi="Times New Roman" w:cs="Times New Roman"/>
          <w:iCs/>
          <w:sz w:val="18"/>
          <w:szCs w:val="18"/>
        </w:rPr>
        <w:t>3.</w:t>
      </w:r>
      <w:r w:rsidRPr="0027711F">
        <w:rPr>
          <w:rFonts w:ascii="Times New Roman" w:hAnsi="Times New Roman" w:cs="Times New Roman"/>
          <w:iCs/>
          <w:sz w:val="18"/>
          <w:szCs w:val="18"/>
        </w:rPr>
        <w:tab/>
      </w:r>
      <w:r w:rsidRPr="0027711F">
        <w:rPr>
          <w:rFonts w:ascii="Times New Roman" w:hAnsi="Times New Roman" w:cs="Times New Roman"/>
          <w:sz w:val="18"/>
          <w:szCs w:val="18"/>
        </w:rPr>
        <w:t xml:space="preserve">Se a frequência da radiação incidente está abaixo da frequência de corte, mesmo aumentando sua intensidade, não se verifica o fenômeno. Por outro lado, para frequências da radiação incidente acima da frequência de corte, o fenômeno se verifica para qualquer intensidade. </w:t>
      </w:r>
    </w:p>
    <w:p w:rsidR="00346CB5" w:rsidRPr="0027711F" w:rsidRDefault="00346CB5" w:rsidP="00346CB5">
      <w:pPr>
        <w:pStyle w:val="Default"/>
        <w:ind w:left="420" w:hanging="420"/>
        <w:jc w:val="both"/>
        <w:rPr>
          <w:rFonts w:ascii="Times New Roman" w:hAnsi="Times New Roman" w:cs="Times New Roman"/>
          <w:sz w:val="18"/>
          <w:szCs w:val="18"/>
        </w:rPr>
      </w:pPr>
    </w:p>
    <w:p w:rsidR="00346CB5" w:rsidRPr="0027711F" w:rsidRDefault="00346CB5" w:rsidP="00346CB5">
      <w:pPr>
        <w:pStyle w:val="Default"/>
        <w:ind w:left="420"/>
        <w:jc w:val="both"/>
        <w:rPr>
          <w:rFonts w:ascii="Times New Roman" w:hAnsi="Times New Roman" w:cs="Times New Roman"/>
          <w:sz w:val="18"/>
          <w:szCs w:val="18"/>
        </w:rPr>
      </w:pPr>
      <w:r w:rsidRPr="0027711F">
        <w:rPr>
          <w:rFonts w:ascii="Times New Roman" w:hAnsi="Times New Roman" w:cs="Times New Roman"/>
          <w:sz w:val="18"/>
          <w:szCs w:val="18"/>
        </w:rPr>
        <w:t>A Figura representa um dispositivo para o estudo efeito fotoelétrico. Nela, elétrons são arrancados da superfície emissora, devido à radiação incidente, e acelerados em direção à placa coletora pelo campo elétrico, gerando uma corrente elétrica que é medida pelo amperímetro, A.</w:t>
      </w:r>
    </w:p>
    <w:p w:rsidR="00346CB5" w:rsidRPr="0027711F" w:rsidRDefault="00346CB5" w:rsidP="00346CB5">
      <w:pPr>
        <w:pStyle w:val="Default"/>
        <w:ind w:left="420" w:hanging="420"/>
        <w:jc w:val="both"/>
        <w:rPr>
          <w:rFonts w:ascii="Times New Roman" w:hAnsi="Times New Roman" w:cs="Times New Roman"/>
          <w:sz w:val="18"/>
          <w:szCs w:val="18"/>
        </w:rPr>
      </w:pPr>
    </w:p>
    <w:p w:rsidR="00346CB5" w:rsidRPr="0027711F" w:rsidRDefault="00346CB5" w:rsidP="00346CB5">
      <w:pPr>
        <w:pStyle w:val="Default"/>
        <w:ind w:left="420" w:hanging="420"/>
        <w:jc w:val="center"/>
        <w:rPr>
          <w:rFonts w:ascii="Times New Roman" w:hAnsi="Times New Roman" w:cs="Times New Roman"/>
          <w:sz w:val="18"/>
          <w:szCs w:val="18"/>
        </w:rPr>
      </w:pPr>
      <w:r w:rsidRPr="0027711F">
        <w:rPr>
          <w:rFonts w:ascii="Times New Roman" w:hAnsi="Times New Roman" w:cs="Times New Roman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0pt;height:111.5pt">
            <v:imagedata r:id="rId4" o:title="" gain="112993f" blacklevel="-5898f" grayscale="t"/>
          </v:shape>
        </w:pict>
      </w:r>
    </w:p>
    <w:p w:rsidR="00346CB5" w:rsidRPr="0027711F" w:rsidRDefault="00346CB5" w:rsidP="00346CB5">
      <w:pPr>
        <w:pStyle w:val="Default"/>
        <w:ind w:left="420" w:hanging="420"/>
        <w:jc w:val="both"/>
        <w:rPr>
          <w:rFonts w:ascii="Times New Roman" w:hAnsi="Times New Roman" w:cs="Times New Roman"/>
          <w:sz w:val="18"/>
          <w:szCs w:val="18"/>
        </w:rPr>
      </w:pPr>
    </w:p>
    <w:p w:rsidR="00346CB5" w:rsidRPr="0027711F" w:rsidRDefault="00346CB5" w:rsidP="00346CB5">
      <w:pPr>
        <w:pStyle w:val="Default"/>
        <w:ind w:left="420"/>
        <w:jc w:val="both"/>
        <w:rPr>
          <w:rFonts w:ascii="Times New Roman" w:hAnsi="Times New Roman" w:cs="Times New Roman"/>
          <w:sz w:val="18"/>
          <w:szCs w:val="18"/>
        </w:rPr>
      </w:pPr>
      <w:r w:rsidRPr="0027711F">
        <w:rPr>
          <w:rFonts w:ascii="Times New Roman" w:hAnsi="Times New Roman" w:cs="Times New Roman"/>
          <w:sz w:val="18"/>
          <w:szCs w:val="18"/>
        </w:rPr>
        <w:t xml:space="preserve">Diante do exposto, responda as questões abaixo: </w:t>
      </w:r>
    </w:p>
    <w:p w:rsidR="00346CB5" w:rsidRPr="0027711F" w:rsidRDefault="00346CB5" w:rsidP="00346CB5">
      <w:pPr>
        <w:pStyle w:val="Default"/>
        <w:ind w:left="420" w:hanging="420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346CB5" w:rsidRPr="0027711F" w:rsidRDefault="00346CB5" w:rsidP="00346CB5">
      <w:pPr>
        <w:pStyle w:val="Default"/>
        <w:ind w:left="840" w:hanging="420"/>
        <w:jc w:val="both"/>
        <w:rPr>
          <w:rFonts w:ascii="Times New Roman" w:hAnsi="Times New Roman" w:cs="Times New Roman"/>
          <w:sz w:val="18"/>
          <w:szCs w:val="18"/>
        </w:rPr>
      </w:pPr>
      <w:r w:rsidRPr="0027711F">
        <w:rPr>
          <w:rFonts w:ascii="Times New Roman" w:hAnsi="Times New Roman" w:cs="Times New Roman"/>
          <w:bCs/>
          <w:sz w:val="18"/>
          <w:szCs w:val="18"/>
        </w:rPr>
        <w:t>a)</w:t>
      </w:r>
      <w:r w:rsidRPr="0027711F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27711F">
        <w:rPr>
          <w:rFonts w:ascii="Times New Roman" w:hAnsi="Times New Roman" w:cs="Times New Roman"/>
          <w:sz w:val="18"/>
          <w:szCs w:val="18"/>
        </w:rPr>
        <w:t xml:space="preserve">Como se explica o comportamento observado no item </w:t>
      </w:r>
      <w:r w:rsidRPr="004D6DE4">
        <w:rPr>
          <w:rFonts w:ascii="Times New Roman" w:hAnsi="Times New Roman" w:cs="Times New Roman"/>
          <w:iCs/>
          <w:sz w:val="18"/>
          <w:szCs w:val="18"/>
        </w:rPr>
        <w:t>1</w:t>
      </w:r>
      <w:r w:rsidRPr="0027711F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27711F">
        <w:rPr>
          <w:rFonts w:ascii="Times New Roman" w:hAnsi="Times New Roman" w:cs="Times New Roman"/>
          <w:sz w:val="18"/>
          <w:szCs w:val="18"/>
        </w:rPr>
        <w:t xml:space="preserve">do texto? Justifique sua resposta. </w:t>
      </w:r>
    </w:p>
    <w:p w:rsidR="00346CB5" w:rsidRPr="0027711F" w:rsidRDefault="00346CB5" w:rsidP="00346CB5">
      <w:pPr>
        <w:pStyle w:val="Default"/>
        <w:ind w:left="840" w:hanging="420"/>
        <w:jc w:val="both"/>
        <w:rPr>
          <w:rFonts w:ascii="Times New Roman" w:hAnsi="Times New Roman" w:cs="Times New Roman"/>
          <w:sz w:val="18"/>
          <w:szCs w:val="18"/>
        </w:rPr>
      </w:pPr>
      <w:r w:rsidRPr="0027711F">
        <w:rPr>
          <w:rFonts w:ascii="Times New Roman" w:hAnsi="Times New Roman" w:cs="Times New Roman"/>
          <w:bCs/>
          <w:sz w:val="18"/>
          <w:szCs w:val="18"/>
        </w:rPr>
        <w:t>b)</w:t>
      </w:r>
      <w:r w:rsidRPr="0027711F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27711F">
        <w:rPr>
          <w:rFonts w:ascii="Times New Roman" w:hAnsi="Times New Roman" w:cs="Times New Roman"/>
          <w:sz w:val="18"/>
          <w:szCs w:val="18"/>
        </w:rPr>
        <w:t xml:space="preserve">Como se explica o comportamento observado no item </w:t>
      </w:r>
      <w:r w:rsidRPr="004D6DE4">
        <w:rPr>
          <w:rFonts w:ascii="Times New Roman" w:hAnsi="Times New Roman" w:cs="Times New Roman"/>
          <w:iCs/>
          <w:sz w:val="18"/>
          <w:szCs w:val="18"/>
        </w:rPr>
        <w:t>2</w:t>
      </w:r>
      <w:r w:rsidRPr="0027711F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27711F">
        <w:rPr>
          <w:rFonts w:ascii="Times New Roman" w:hAnsi="Times New Roman" w:cs="Times New Roman"/>
          <w:sz w:val="18"/>
          <w:szCs w:val="18"/>
        </w:rPr>
        <w:t xml:space="preserve">do texto? Justifique sua resposta. </w:t>
      </w:r>
    </w:p>
    <w:p w:rsidR="00346CB5" w:rsidRPr="0027711F" w:rsidRDefault="00346CB5" w:rsidP="00346CB5">
      <w:pPr>
        <w:pStyle w:val="Default"/>
        <w:ind w:left="840" w:hanging="420"/>
        <w:jc w:val="both"/>
        <w:rPr>
          <w:rFonts w:ascii="Times New Roman" w:hAnsi="Times New Roman" w:cs="Times New Roman"/>
          <w:sz w:val="18"/>
          <w:szCs w:val="18"/>
        </w:rPr>
      </w:pPr>
      <w:r w:rsidRPr="0027711F">
        <w:rPr>
          <w:rFonts w:ascii="Times New Roman" w:hAnsi="Times New Roman" w:cs="Times New Roman"/>
          <w:bCs/>
          <w:sz w:val="18"/>
          <w:szCs w:val="18"/>
        </w:rPr>
        <w:t>c)</w:t>
      </w:r>
      <w:r w:rsidRPr="0027711F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27711F">
        <w:rPr>
          <w:rFonts w:ascii="Times New Roman" w:hAnsi="Times New Roman" w:cs="Times New Roman"/>
          <w:sz w:val="18"/>
          <w:szCs w:val="18"/>
        </w:rPr>
        <w:t xml:space="preserve">Como se explica o comportamento observado no item </w:t>
      </w:r>
      <w:r w:rsidRPr="004D6DE4">
        <w:rPr>
          <w:rFonts w:ascii="Times New Roman" w:hAnsi="Times New Roman" w:cs="Times New Roman"/>
          <w:iCs/>
          <w:sz w:val="18"/>
          <w:szCs w:val="18"/>
        </w:rPr>
        <w:t>3</w:t>
      </w:r>
      <w:r w:rsidRPr="0027711F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27711F">
        <w:rPr>
          <w:rFonts w:ascii="Times New Roman" w:hAnsi="Times New Roman" w:cs="Times New Roman"/>
          <w:sz w:val="18"/>
          <w:szCs w:val="18"/>
        </w:rPr>
        <w:t>do texto? Justifique sua resposta.</w:t>
      </w:r>
    </w:p>
    <w:p w:rsidR="00302BE2" w:rsidRPr="00346CB5" w:rsidRDefault="00302BE2" w:rsidP="00346CB5"/>
    <w:sectPr w:rsidR="00302BE2" w:rsidRPr="00346CB5" w:rsidSect="00346C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46CB5"/>
    <w:rsid w:val="001773BC"/>
    <w:rsid w:val="0023395C"/>
    <w:rsid w:val="00302BE2"/>
    <w:rsid w:val="00346CB5"/>
    <w:rsid w:val="005A4EF1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D75B1A-E221-4AC5-B6B9-1A820F59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Default">
    <w:name w:val="Default"/>
    <w:rsid w:val="00346CB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