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6A" w:rsidRDefault="00A73E6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73E6A" w:rsidRPr="002C710C" w:rsidRDefault="00A73E6A" w:rsidP="00A73E6A">
      <w:pPr>
        <w:autoSpaceDE w:val="0"/>
        <w:autoSpaceDN w:val="0"/>
        <w:adjustRightInd w:val="0"/>
        <w:ind w:left="420"/>
        <w:jc w:val="both"/>
        <w:rPr>
          <w:bCs/>
        </w:rPr>
      </w:pPr>
      <w:r w:rsidRPr="002C710C">
        <w:rPr>
          <w:bCs/>
        </w:rPr>
        <w:t>Sobre o Princípio da Incerteza de Heisenberg, analise as proposições a seguir:</w:t>
      </w:r>
    </w:p>
    <w:p w:rsidR="00A73E6A" w:rsidRPr="0051036C" w:rsidRDefault="00A73E6A" w:rsidP="00A73E6A">
      <w:pPr>
        <w:autoSpaceDE w:val="0"/>
        <w:autoSpaceDN w:val="0"/>
        <w:adjustRightInd w:val="0"/>
        <w:ind w:left="420" w:hanging="420"/>
        <w:jc w:val="both"/>
        <w:rPr>
          <w:b/>
          <w:bCs/>
        </w:rPr>
      </w:pP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I.</w:t>
      </w:r>
      <w:r w:rsidRPr="0051036C">
        <w:tab/>
        <w:t xml:space="preserve">Se uma medida da posição for feita com precisão </w:t>
      </w:r>
      <w:r w:rsidRPr="0051036C">
        <w:sym w:font="Symbol" w:char="F044"/>
      </w:r>
      <w:r w:rsidRPr="0051036C">
        <w:t xml:space="preserve">x e se uma medida simultânea da quantidade de movimento for feita com precisão </w:t>
      </w:r>
      <w:r w:rsidRPr="0051036C">
        <w:sym w:font="Symbol" w:char="F044"/>
      </w:r>
      <w:r w:rsidRPr="0051036C">
        <w:t xml:space="preserve">p, então o produto das duas incertezas nunca poderá ser menor do que </w:t>
      </w:r>
      <w:r w:rsidRPr="0051036C">
        <w:rPr>
          <w:position w:val="-20"/>
        </w:rPr>
        <w:object w:dxaOrig="3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25.1pt" o:ole="">
            <v:imagedata r:id="rId4" o:title=""/>
          </v:shape>
          <o:OLEObject Type="Embed" ProgID="Equation.3" ShapeID="_x0000_i1025" DrawAspect="Content" ObjectID="_1536687455" r:id="rId5"/>
        </w:object>
      </w:r>
      <w:r w:rsidRPr="0051036C">
        <w:t xml:space="preserve">, ou seja, </w:t>
      </w:r>
      <w:r w:rsidRPr="0051036C">
        <w:sym w:font="Symbol" w:char="F044"/>
      </w:r>
      <w:r w:rsidRPr="0051036C">
        <w:t xml:space="preserve">x </w:t>
      </w:r>
      <w:r w:rsidRPr="0051036C">
        <w:sym w:font="Symbol" w:char="F0D7"/>
      </w:r>
      <w:r w:rsidRPr="0051036C">
        <w:t xml:space="preserve"> </w:t>
      </w:r>
      <w:r w:rsidRPr="0051036C">
        <w:sym w:font="Symbol" w:char="F044"/>
      </w:r>
      <w:r w:rsidRPr="0051036C">
        <w:t xml:space="preserve">p </w:t>
      </w:r>
      <w:r w:rsidRPr="0051036C">
        <w:sym w:font="Symbol" w:char="F0B3"/>
      </w:r>
      <w:r w:rsidRPr="0051036C">
        <w:t xml:space="preserve"> </w:t>
      </w:r>
      <w:r w:rsidRPr="0051036C">
        <w:rPr>
          <w:position w:val="-20"/>
        </w:rPr>
        <w:object w:dxaOrig="320" w:dyaOrig="499">
          <v:shape id="_x0000_i1026" type="#_x0000_t75" style="width:15.8pt;height:25.1pt" o:ole="">
            <v:imagedata r:id="rId6" o:title=""/>
          </v:shape>
          <o:OLEObject Type="Embed" ProgID="Equation.3" ShapeID="_x0000_i1026" DrawAspect="Content" ObjectID="_1536687456" r:id="rId7"/>
        </w:object>
      </w:r>
      <w:r w:rsidRPr="0051036C">
        <w:t>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II.</w:t>
      </w:r>
      <w:r w:rsidRPr="0051036C">
        <w:tab/>
        <w:t>Quanto maior a precisão na determinação da posição do elétron, menor é a precisão na determinação de sua velocidade (ou de sua quantidade de movimento) e vice-versa.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III.</w:t>
      </w:r>
      <w:r w:rsidRPr="0051036C">
        <w:tab/>
        <w:t>O princípio afirma que há um limite real para a precisão das medições simultâneas da posição e da quantidade de movimento. Esse limite provém da própria estrutura quântica da matéria e das imperfeições dos instrumentos de medida utilizados.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IV.</w:t>
      </w:r>
      <w:r w:rsidRPr="0051036C">
        <w:tab/>
        <w:t>O princípio fundamenta-se na ação do observador sobre o objeto observado; logo, ele é uma manifestação da impossibilidade de se ignorar a interação entre o observador e o objeto observado.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V.</w:t>
      </w:r>
      <w:r w:rsidRPr="0051036C">
        <w:tab/>
        <w:t>Esse princípio se torna irrelevante na interpretação de experiências que lidam com objetos macroscópicos, mas se torna relevante na interpretação de experiências que lidam com partículas subatômicas, como os elétrons.</w:t>
      </w:r>
    </w:p>
    <w:p w:rsidR="00A73E6A" w:rsidRPr="0051036C" w:rsidRDefault="00A73E6A" w:rsidP="00A73E6A">
      <w:pPr>
        <w:autoSpaceDE w:val="0"/>
        <w:autoSpaceDN w:val="0"/>
        <w:adjustRightInd w:val="0"/>
        <w:ind w:left="420" w:hanging="420"/>
        <w:jc w:val="both"/>
      </w:pPr>
    </w:p>
    <w:p w:rsidR="00A73E6A" w:rsidRPr="0051036C" w:rsidRDefault="00A73E6A" w:rsidP="00A73E6A">
      <w:pPr>
        <w:autoSpaceDE w:val="0"/>
        <w:autoSpaceDN w:val="0"/>
        <w:adjustRightInd w:val="0"/>
        <w:ind w:left="420"/>
        <w:jc w:val="both"/>
        <w:rPr>
          <w:b/>
          <w:bCs/>
        </w:rPr>
      </w:pPr>
      <w:r w:rsidRPr="0051036C">
        <w:t xml:space="preserve">Estão </w:t>
      </w:r>
      <w:r w:rsidRPr="0051036C">
        <w:rPr>
          <w:b/>
          <w:bCs/>
        </w:rPr>
        <w:t>CORRETAS</w:t>
      </w:r>
    </w:p>
    <w:p w:rsidR="00A73E6A" w:rsidRPr="0051036C" w:rsidRDefault="00A73E6A" w:rsidP="00A73E6A">
      <w:pPr>
        <w:autoSpaceDE w:val="0"/>
        <w:autoSpaceDN w:val="0"/>
        <w:adjustRightInd w:val="0"/>
        <w:ind w:left="420" w:hanging="420"/>
        <w:jc w:val="both"/>
      </w:pP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a)</w:t>
      </w:r>
      <w:r w:rsidRPr="0051036C">
        <w:tab/>
        <w:t>I, II, III, IV e V.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b)</w:t>
      </w:r>
      <w:r w:rsidRPr="0051036C">
        <w:tab/>
        <w:t>I e II, apenas.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c)</w:t>
      </w:r>
      <w:r w:rsidRPr="0051036C">
        <w:tab/>
        <w:t>I, II e V, apenas.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d)</w:t>
      </w:r>
      <w:r w:rsidRPr="0051036C">
        <w:tab/>
        <w:t>I, II, IV e V, apenas.</w:t>
      </w:r>
    </w:p>
    <w:p w:rsidR="00A73E6A" w:rsidRPr="0051036C" w:rsidRDefault="00A73E6A" w:rsidP="00A73E6A">
      <w:pPr>
        <w:autoSpaceDE w:val="0"/>
        <w:autoSpaceDN w:val="0"/>
        <w:adjustRightInd w:val="0"/>
        <w:ind w:left="840" w:hanging="420"/>
        <w:jc w:val="both"/>
      </w:pPr>
      <w:r w:rsidRPr="0051036C">
        <w:t>e)</w:t>
      </w:r>
      <w:r w:rsidRPr="0051036C">
        <w:tab/>
        <w:t>I, II e IV, apenas.</w:t>
      </w:r>
    </w:p>
    <w:p w:rsidR="00302BE2" w:rsidRPr="00A73E6A" w:rsidRDefault="00302BE2" w:rsidP="00A73E6A"/>
    <w:sectPr w:rsidR="00302BE2" w:rsidRPr="00A73E6A" w:rsidSect="00A73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3E6A"/>
    <w:rsid w:val="001773BC"/>
    <w:rsid w:val="0023395C"/>
    <w:rsid w:val="00302BE2"/>
    <w:rsid w:val="00A73E6A"/>
    <w:rsid w:val="00BE0A9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101E3-EE50-43CC-B23C-7883772F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