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C1" w:rsidRDefault="00D04BC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04BC1" w:rsidRPr="00A9665A" w:rsidRDefault="00D04BC1" w:rsidP="00D04BC1">
      <w:pPr>
        <w:ind w:left="420"/>
        <w:jc w:val="both"/>
      </w:pPr>
      <w:r w:rsidRPr="00A9665A">
        <w:t>Em 1905, Albert Einstein publicou vários artigos. Um deles, rendeu-lhe o prêmio Nobel de Física em 1914, o que tratava do efeito fotoelétrico. Com base nesta informação, explique em que consiste o efeito fotoelétrico.</w:t>
      </w:r>
    </w:p>
    <w:p w:rsidR="00D04BC1" w:rsidRPr="00D04BC1" w:rsidRDefault="00D04BC1" w:rsidP="00D04BC1"/>
    <w:sectPr w:rsidR="00D04BC1" w:rsidRPr="00D04BC1" w:rsidSect="00D0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4BC1"/>
    <w:rsid w:val="001D09E9"/>
    <w:rsid w:val="00D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ABCBC-CD12-4483-AEC0-ABCD0C10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