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47" w:rsidRDefault="006D724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D7247" w:rsidRPr="00A779D7" w:rsidRDefault="006D7247" w:rsidP="006D7247">
      <w:pPr>
        <w:autoSpaceDE w:val="0"/>
        <w:autoSpaceDN w:val="0"/>
        <w:adjustRightInd w:val="0"/>
        <w:ind w:left="420"/>
        <w:rPr>
          <w:bCs/>
        </w:rPr>
      </w:pPr>
      <w:r w:rsidRPr="00A779D7">
        <w:rPr>
          <w:bCs/>
        </w:rPr>
        <w:t xml:space="preserve">De acordo com a quantização da energia de Planck, sabe-se que a energia de um fóton é E = hf onde </w:t>
      </w:r>
      <w:r w:rsidRPr="00A779D7">
        <w:rPr>
          <w:b/>
        </w:rPr>
        <w:t xml:space="preserve">h </w:t>
      </w:r>
      <w:r w:rsidRPr="00A779D7">
        <w:rPr>
          <w:bCs/>
        </w:rPr>
        <w:t>é a</w:t>
      </w:r>
      <w:r>
        <w:rPr>
          <w:bCs/>
        </w:rPr>
        <w:t xml:space="preserve"> </w:t>
      </w:r>
      <w:r w:rsidRPr="00A779D7">
        <w:rPr>
          <w:bCs/>
        </w:rPr>
        <w:t xml:space="preserve">constante de Planck e </w:t>
      </w:r>
      <w:r w:rsidRPr="00A779D7">
        <w:rPr>
          <w:b/>
        </w:rPr>
        <w:t xml:space="preserve">f </w:t>
      </w:r>
      <w:r w:rsidRPr="00A779D7">
        <w:rPr>
          <w:bCs/>
        </w:rPr>
        <w:t>é a frequência da radiação. Considerando os fótons de radiação eletromagnética a seguir, numere os parênteses em ordem crescente de sua energia, sendo 1 o de menor energia e 5 o de maior energia.</w:t>
      </w:r>
    </w:p>
    <w:p w:rsidR="006D7247" w:rsidRPr="00A779D7" w:rsidRDefault="006D7247" w:rsidP="006D7247">
      <w:pPr>
        <w:autoSpaceDE w:val="0"/>
        <w:autoSpaceDN w:val="0"/>
        <w:adjustRightInd w:val="0"/>
        <w:ind w:left="420" w:hanging="420"/>
        <w:rPr>
          <w:bCs/>
        </w:rPr>
      </w:pPr>
    </w:p>
    <w:p w:rsidR="006D7247" w:rsidRPr="00A779D7" w:rsidRDefault="006D7247" w:rsidP="006D7247">
      <w:pPr>
        <w:autoSpaceDE w:val="0"/>
        <w:autoSpaceDN w:val="0"/>
        <w:adjustRightInd w:val="0"/>
        <w:ind w:left="840" w:hanging="420"/>
        <w:rPr>
          <w:bCs/>
        </w:rPr>
      </w:pPr>
      <w:r w:rsidRPr="00A779D7">
        <w:rPr>
          <w:bCs/>
        </w:rPr>
        <w:t>(  )</w:t>
      </w:r>
      <w:r w:rsidRPr="00A779D7">
        <w:rPr>
          <w:bCs/>
        </w:rPr>
        <w:tab/>
        <w:t>luz azul</w:t>
      </w:r>
    </w:p>
    <w:p w:rsidR="006D7247" w:rsidRPr="00A779D7" w:rsidRDefault="006D7247" w:rsidP="006D7247">
      <w:pPr>
        <w:autoSpaceDE w:val="0"/>
        <w:autoSpaceDN w:val="0"/>
        <w:adjustRightInd w:val="0"/>
        <w:ind w:left="840" w:hanging="420"/>
        <w:rPr>
          <w:bCs/>
        </w:rPr>
      </w:pPr>
      <w:r w:rsidRPr="00A779D7">
        <w:rPr>
          <w:bCs/>
        </w:rPr>
        <w:t>(  )</w:t>
      </w:r>
      <w:r w:rsidRPr="00A779D7">
        <w:rPr>
          <w:bCs/>
        </w:rPr>
        <w:tab/>
        <w:t>luz vermelha</w:t>
      </w:r>
    </w:p>
    <w:p w:rsidR="006D7247" w:rsidRPr="00A779D7" w:rsidRDefault="006D7247" w:rsidP="006D7247">
      <w:pPr>
        <w:autoSpaceDE w:val="0"/>
        <w:autoSpaceDN w:val="0"/>
        <w:adjustRightInd w:val="0"/>
        <w:ind w:left="840" w:hanging="420"/>
        <w:rPr>
          <w:bCs/>
        </w:rPr>
      </w:pPr>
      <w:r w:rsidRPr="00A779D7">
        <w:rPr>
          <w:bCs/>
        </w:rPr>
        <w:t>(  )</w:t>
      </w:r>
      <w:r w:rsidRPr="00A779D7">
        <w:rPr>
          <w:bCs/>
        </w:rPr>
        <w:tab/>
        <w:t>raios gama</w:t>
      </w:r>
    </w:p>
    <w:p w:rsidR="006D7247" w:rsidRPr="00A779D7" w:rsidRDefault="006D7247" w:rsidP="006D7247">
      <w:pPr>
        <w:autoSpaceDE w:val="0"/>
        <w:autoSpaceDN w:val="0"/>
        <w:adjustRightInd w:val="0"/>
        <w:ind w:left="840" w:hanging="420"/>
        <w:rPr>
          <w:bCs/>
        </w:rPr>
      </w:pPr>
      <w:r w:rsidRPr="00A779D7">
        <w:rPr>
          <w:bCs/>
        </w:rPr>
        <w:t>(  )</w:t>
      </w:r>
      <w:r w:rsidRPr="00A779D7">
        <w:rPr>
          <w:bCs/>
        </w:rPr>
        <w:tab/>
        <w:t>radiação ultravioleta</w:t>
      </w:r>
    </w:p>
    <w:p w:rsidR="006D7247" w:rsidRPr="00A779D7" w:rsidRDefault="006D7247" w:rsidP="006D7247">
      <w:pPr>
        <w:autoSpaceDE w:val="0"/>
        <w:autoSpaceDN w:val="0"/>
        <w:adjustRightInd w:val="0"/>
        <w:ind w:left="840" w:hanging="420"/>
        <w:rPr>
          <w:bCs/>
        </w:rPr>
      </w:pPr>
      <w:r w:rsidRPr="00A779D7">
        <w:rPr>
          <w:bCs/>
        </w:rPr>
        <w:t>(  )</w:t>
      </w:r>
      <w:r w:rsidRPr="00A779D7">
        <w:rPr>
          <w:bCs/>
        </w:rPr>
        <w:tab/>
        <w:t>radiação infravermelha</w:t>
      </w:r>
    </w:p>
    <w:p w:rsidR="006D7247" w:rsidRPr="00A779D7" w:rsidRDefault="006D7247" w:rsidP="006D7247">
      <w:pPr>
        <w:autoSpaceDE w:val="0"/>
        <w:autoSpaceDN w:val="0"/>
        <w:adjustRightInd w:val="0"/>
        <w:ind w:left="420" w:hanging="420"/>
        <w:rPr>
          <w:bCs/>
        </w:rPr>
      </w:pPr>
    </w:p>
    <w:p w:rsidR="006D7247" w:rsidRPr="00A779D7" w:rsidRDefault="006D7247" w:rsidP="006D7247">
      <w:pPr>
        <w:autoSpaceDE w:val="0"/>
        <w:autoSpaceDN w:val="0"/>
        <w:adjustRightInd w:val="0"/>
        <w:ind w:left="420"/>
        <w:rPr>
          <w:bCs/>
        </w:rPr>
      </w:pPr>
      <w:r w:rsidRPr="00A779D7">
        <w:rPr>
          <w:bCs/>
        </w:rPr>
        <w:t>A correta numeração dos parênteses, de cima para baixo, é</w:t>
      </w:r>
    </w:p>
    <w:p w:rsidR="006D7247" w:rsidRPr="00A779D7" w:rsidRDefault="006D7247" w:rsidP="006D7247">
      <w:pPr>
        <w:autoSpaceDE w:val="0"/>
        <w:autoSpaceDN w:val="0"/>
        <w:adjustRightInd w:val="0"/>
        <w:ind w:left="420" w:hanging="420"/>
        <w:rPr>
          <w:bCs/>
        </w:rPr>
      </w:pPr>
    </w:p>
    <w:p w:rsidR="006D7247" w:rsidRPr="00A779D7" w:rsidRDefault="006D7247" w:rsidP="006D7247">
      <w:pPr>
        <w:autoSpaceDE w:val="0"/>
        <w:autoSpaceDN w:val="0"/>
        <w:adjustRightInd w:val="0"/>
        <w:ind w:left="840" w:hanging="420"/>
        <w:rPr>
          <w:bCs/>
        </w:rPr>
      </w:pPr>
      <w:r w:rsidRPr="00A779D7">
        <w:rPr>
          <w:bCs/>
        </w:rPr>
        <w:t>a)</w:t>
      </w:r>
      <w:r w:rsidRPr="00A779D7">
        <w:rPr>
          <w:bCs/>
        </w:rPr>
        <w:tab/>
        <w:t>1 – 2 – 3 – 4 – 5</w:t>
      </w:r>
    </w:p>
    <w:p w:rsidR="006D7247" w:rsidRPr="00A779D7" w:rsidRDefault="006D7247" w:rsidP="006D7247">
      <w:pPr>
        <w:autoSpaceDE w:val="0"/>
        <w:autoSpaceDN w:val="0"/>
        <w:adjustRightInd w:val="0"/>
        <w:ind w:left="840" w:hanging="420"/>
        <w:rPr>
          <w:bCs/>
        </w:rPr>
      </w:pPr>
      <w:r w:rsidRPr="00A779D7">
        <w:rPr>
          <w:bCs/>
        </w:rPr>
        <w:t>b)</w:t>
      </w:r>
      <w:r w:rsidRPr="00A779D7">
        <w:rPr>
          <w:bCs/>
        </w:rPr>
        <w:tab/>
        <w:t>2 – 1 – 4 – 3 – 5</w:t>
      </w:r>
    </w:p>
    <w:p w:rsidR="006D7247" w:rsidRPr="00A779D7" w:rsidRDefault="006D7247" w:rsidP="006D7247">
      <w:pPr>
        <w:autoSpaceDE w:val="0"/>
        <w:autoSpaceDN w:val="0"/>
        <w:adjustRightInd w:val="0"/>
        <w:ind w:left="840" w:hanging="420"/>
        <w:rPr>
          <w:bCs/>
        </w:rPr>
      </w:pPr>
      <w:r w:rsidRPr="00A779D7">
        <w:rPr>
          <w:bCs/>
        </w:rPr>
        <w:t>c)</w:t>
      </w:r>
      <w:r w:rsidRPr="00A779D7">
        <w:rPr>
          <w:bCs/>
        </w:rPr>
        <w:tab/>
        <w:t>3 – 2 – 5 – 4 – 1</w:t>
      </w:r>
    </w:p>
    <w:p w:rsidR="006D7247" w:rsidRPr="00A779D7" w:rsidRDefault="006D7247" w:rsidP="006D7247">
      <w:pPr>
        <w:autoSpaceDE w:val="0"/>
        <w:autoSpaceDN w:val="0"/>
        <w:adjustRightInd w:val="0"/>
        <w:ind w:left="840" w:hanging="420"/>
        <w:rPr>
          <w:bCs/>
        </w:rPr>
      </w:pPr>
      <w:r w:rsidRPr="00A779D7">
        <w:rPr>
          <w:bCs/>
        </w:rPr>
        <w:t>d)</w:t>
      </w:r>
      <w:r w:rsidRPr="00A779D7">
        <w:rPr>
          <w:bCs/>
        </w:rPr>
        <w:tab/>
        <w:t>4 – 3 – 5 – 2 – 1</w:t>
      </w:r>
    </w:p>
    <w:p w:rsidR="006D7247" w:rsidRPr="00A779D7" w:rsidRDefault="006D7247" w:rsidP="006D7247">
      <w:pPr>
        <w:autoSpaceDE w:val="0"/>
        <w:autoSpaceDN w:val="0"/>
        <w:adjustRightInd w:val="0"/>
        <w:ind w:left="840" w:hanging="420"/>
        <w:rPr>
          <w:bCs/>
        </w:rPr>
      </w:pPr>
      <w:r w:rsidRPr="00A779D7">
        <w:rPr>
          <w:bCs/>
        </w:rPr>
        <w:t>e)</w:t>
      </w:r>
      <w:r w:rsidRPr="00A779D7">
        <w:rPr>
          <w:bCs/>
        </w:rPr>
        <w:tab/>
        <w:t>5 – 2 – 1 – 4 – 3</w:t>
      </w:r>
    </w:p>
    <w:p w:rsidR="00302BE2" w:rsidRPr="006D7247" w:rsidRDefault="00302BE2" w:rsidP="006D7247"/>
    <w:sectPr w:rsidR="00302BE2" w:rsidRPr="006D7247" w:rsidSect="006D724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7247"/>
    <w:rsid w:val="001773BC"/>
    <w:rsid w:val="00195613"/>
    <w:rsid w:val="0023395C"/>
    <w:rsid w:val="00302BE2"/>
    <w:rsid w:val="006D7247"/>
    <w:rsid w:val="0098467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B815B-56F8-4FED-917D-DF1A2A87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