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9EC" w:rsidRDefault="006A09EC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6A09EC" w:rsidRPr="00BE58B9" w:rsidRDefault="006A09EC" w:rsidP="006A09EC">
      <w:pPr>
        <w:autoSpaceDE w:val="0"/>
        <w:autoSpaceDN w:val="0"/>
        <w:adjustRightInd w:val="0"/>
        <w:ind w:left="420"/>
        <w:jc w:val="both"/>
      </w:pPr>
      <w:r w:rsidRPr="00BE58B9">
        <w:t>A datação arqueológica consiste na quantificação do carbono-14 (</w:t>
      </w:r>
      <w:r w:rsidRPr="00BE58B9">
        <w:rPr>
          <w:vertAlign w:val="superscript"/>
        </w:rPr>
        <w:t>14</w:t>
      </w:r>
      <w:r w:rsidRPr="00BE58B9">
        <w:t>C</w:t>
      </w:r>
      <w:r w:rsidRPr="00BE58B9">
        <w:rPr>
          <w:vertAlign w:val="subscript"/>
        </w:rPr>
        <w:t>6</w:t>
      </w:r>
      <w:r w:rsidRPr="00BE58B9">
        <w:t xml:space="preserve">), um isótopo radioativo do carbono, em um determinado corpo ou objeto em estudo. O </w:t>
      </w:r>
      <w:r w:rsidRPr="00BE58B9">
        <w:rPr>
          <w:vertAlign w:val="superscript"/>
        </w:rPr>
        <w:t>14</w:t>
      </w:r>
      <w:r w:rsidRPr="00BE58B9">
        <w:t>C</w:t>
      </w:r>
      <w:r w:rsidRPr="00BE58B9">
        <w:rPr>
          <w:vertAlign w:val="subscript"/>
        </w:rPr>
        <w:t>6</w:t>
      </w:r>
      <w:r w:rsidRPr="00BE58B9">
        <w:t xml:space="preserve"> é formado quando um nêutron proveniente dos raios cósmicos é capturado por um átomo de nitrogênio (</w:t>
      </w:r>
      <w:r w:rsidRPr="00BE58B9">
        <w:rPr>
          <w:vertAlign w:val="superscript"/>
        </w:rPr>
        <w:t>14</w:t>
      </w:r>
      <w:r w:rsidRPr="00BE58B9">
        <w:t>N</w:t>
      </w:r>
      <w:r w:rsidRPr="00BE58B9">
        <w:rPr>
          <w:vertAlign w:val="subscript"/>
        </w:rPr>
        <w:t>7</w:t>
      </w:r>
      <w:r w:rsidRPr="00BE58B9">
        <w:t xml:space="preserve">), expelindo um próton. O </w:t>
      </w:r>
      <w:r w:rsidRPr="00BE58B9">
        <w:rPr>
          <w:vertAlign w:val="superscript"/>
        </w:rPr>
        <w:t>14</w:t>
      </w:r>
      <w:r w:rsidRPr="00BE58B9">
        <w:t>C</w:t>
      </w:r>
      <w:r w:rsidRPr="00BE58B9">
        <w:rPr>
          <w:vertAlign w:val="subscript"/>
        </w:rPr>
        <w:t>6</w:t>
      </w:r>
      <w:r w:rsidRPr="00BE58B9">
        <w:t xml:space="preserve"> decai espontaneamente para </w:t>
      </w:r>
      <w:r w:rsidRPr="00BE58B9">
        <w:rPr>
          <w:vertAlign w:val="superscript"/>
        </w:rPr>
        <w:t>14</w:t>
      </w:r>
      <w:r w:rsidRPr="00BE58B9">
        <w:t>N</w:t>
      </w:r>
      <w:r w:rsidRPr="00BE58B9">
        <w:rPr>
          <w:vertAlign w:val="subscript"/>
        </w:rPr>
        <w:t>7</w:t>
      </w:r>
      <w:r w:rsidRPr="00BE58B9">
        <w:t xml:space="preserve"> com o tempo de meia-vida superior a 5.000 anos. Nesse processo de decaimento radioativo ocorre a emissão de:</w:t>
      </w:r>
    </w:p>
    <w:p w:rsidR="006A09EC" w:rsidRPr="00BE58B9" w:rsidRDefault="006A09EC" w:rsidP="006A09EC">
      <w:pPr>
        <w:autoSpaceDE w:val="0"/>
        <w:autoSpaceDN w:val="0"/>
        <w:adjustRightInd w:val="0"/>
        <w:ind w:left="420" w:hanging="420"/>
        <w:jc w:val="both"/>
      </w:pPr>
    </w:p>
    <w:p w:rsidR="006A09EC" w:rsidRPr="00BE58B9" w:rsidRDefault="006A09EC" w:rsidP="006A09EC">
      <w:pPr>
        <w:autoSpaceDE w:val="0"/>
        <w:autoSpaceDN w:val="0"/>
        <w:adjustRightInd w:val="0"/>
        <w:ind w:left="840" w:hanging="420"/>
        <w:jc w:val="both"/>
      </w:pPr>
      <w:r w:rsidRPr="00BE58B9">
        <w:t>a)</w:t>
      </w:r>
      <w:r w:rsidRPr="00BE58B9">
        <w:tab/>
        <w:t>partículas alfa</w:t>
      </w:r>
    </w:p>
    <w:p w:rsidR="006A09EC" w:rsidRPr="003B093B" w:rsidRDefault="006A09EC" w:rsidP="006A09EC">
      <w:pPr>
        <w:autoSpaceDE w:val="0"/>
        <w:autoSpaceDN w:val="0"/>
        <w:adjustRightInd w:val="0"/>
        <w:ind w:left="840" w:hanging="420"/>
        <w:jc w:val="both"/>
        <w:rPr>
          <w:lang w:val="es-ES"/>
        </w:rPr>
      </w:pPr>
      <w:r w:rsidRPr="003B093B">
        <w:rPr>
          <w:lang w:val="es-ES"/>
        </w:rPr>
        <w:t>b)</w:t>
      </w:r>
      <w:r w:rsidRPr="003B093B">
        <w:rPr>
          <w:lang w:val="es-ES"/>
        </w:rPr>
        <w:tab/>
        <w:t>partículas beta</w:t>
      </w:r>
    </w:p>
    <w:p w:rsidR="006A09EC" w:rsidRPr="003B093B" w:rsidRDefault="006A09EC" w:rsidP="006A09EC">
      <w:pPr>
        <w:autoSpaceDE w:val="0"/>
        <w:autoSpaceDN w:val="0"/>
        <w:adjustRightInd w:val="0"/>
        <w:ind w:left="840" w:hanging="420"/>
        <w:jc w:val="both"/>
        <w:rPr>
          <w:lang w:val="es-ES"/>
        </w:rPr>
      </w:pPr>
      <w:r w:rsidRPr="003B093B">
        <w:rPr>
          <w:lang w:val="es-ES"/>
        </w:rPr>
        <w:t>c)</w:t>
      </w:r>
      <w:r w:rsidRPr="003B093B">
        <w:rPr>
          <w:lang w:val="es-ES"/>
        </w:rPr>
        <w:tab/>
        <w:t>partículas gama</w:t>
      </w:r>
    </w:p>
    <w:p w:rsidR="006A09EC" w:rsidRPr="00BE58B9" w:rsidRDefault="006A09EC" w:rsidP="006A09EC">
      <w:pPr>
        <w:autoSpaceDE w:val="0"/>
        <w:autoSpaceDN w:val="0"/>
        <w:adjustRightInd w:val="0"/>
        <w:ind w:left="840" w:hanging="420"/>
        <w:jc w:val="both"/>
      </w:pPr>
      <w:r w:rsidRPr="00BE58B9">
        <w:t>d)</w:t>
      </w:r>
      <w:r w:rsidRPr="00BE58B9">
        <w:tab/>
        <w:t>prótons</w:t>
      </w:r>
    </w:p>
    <w:p w:rsidR="006A09EC" w:rsidRPr="00BE58B9" w:rsidRDefault="006A09EC" w:rsidP="006A09EC">
      <w:pPr>
        <w:autoSpaceDE w:val="0"/>
        <w:autoSpaceDN w:val="0"/>
        <w:adjustRightInd w:val="0"/>
        <w:ind w:left="840" w:hanging="420"/>
        <w:jc w:val="both"/>
      </w:pPr>
      <w:r w:rsidRPr="00BE58B9">
        <w:t>e)</w:t>
      </w:r>
      <w:r w:rsidRPr="00BE58B9">
        <w:tab/>
        <w:t>neutros</w:t>
      </w:r>
    </w:p>
    <w:p w:rsidR="00302BE2" w:rsidRPr="006A09EC" w:rsidRDefault="00302BE2" w:rsidP="006A09EC"/>
    <w:sectPr w:rsidR="00302BE2" w:rsidRPr="006A09EC" w:rsidSect="006A09E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A09EC"/>
    <w:rsid w:val="001773BC"/>
    <w:rsid w:val="00195613"/>
    <w:rsid w:val="0023395C"/>
    <w:rsid w:val="002D52C0"/>
    <w:rsid w:val="00302BE2"/>
    <w:rsid w:val="006A09EC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3C9B3A-67BC-4C7C-BCA7-F9329A1B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