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56" w:rsidRDefault="00892B5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92B56" w:rsidRPr="00C07518" w:rsidRDefault="00892B56" w:rsidP="00892B56">
      <w:pPr>
        <w:ind w:left="420"/>
        <w:jc w:val="both"/>
      </w:pPr>
      <w:r w:rsidRPr="00C07518">
        <w:t xml:space="preserve">Radioisótopo muito utilizado na medicina nuclear, o tecnécio-99-metaestável decai por emissão de um fóton com energia 2,21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–14</w:t>
      </w:r>
      <w:r w:rsidRPr="00C07518">
        <w:t xml:space="preserve"> J. De acordo com Max Planck, essa energia é dada por E</w:t>
      </w:r>
      <w:r w:rsidRPr="00C07518">
        <w:rPr>
          <w:vertAlign w:val="subscript"/>
        </w:rPr>
        <w:t>F</w:t>
      </w:r>
      <w:r w:rsidRPr="00C07518">
        <w:t xml:space="preserve"> = h </w:t>
      </w:r>
      <w:r w:rsidRPr="00C07518">
        <w:sym w:font="Symbol" w:char="F0D7"/>
      </w:r>
      <w:r w:rsidRPr="00C07518">
        <w:t xml:space="preserve"> f, sendo h uma constante de valor 6,63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–34</w:t>
      </w:r>
      <w:r w:rsidRPr="00C07518">
        <w:t xml:space="preserve"> J </w:t>
      </w:r>
      <w:r w:rsidRPr="00C07518">
        <w:sym w:font="Symbol" w:char="F0D7"/>
      </w:r>
      <w:r w:rsidRPr="00C07518">
        <w:t xml:space="preserve"> s e f a frequência da radiação. Considerando a velocidade das ondas eletromagnéticas no vácuo igual a 3,0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8</w:t>
      </w:r>
      <w:r w:rsidRPr="00C07518">
        <w:t xml:space="preserve"> m/s, o comprimento de onda, em metros, da radiação emitida por esse radioisótopo é, aproximadamente,</w:t>
      </w:r>
    </w:p>
    <w:p w:rsidR="00892B56" w:rsidRPr="00C07518" w:rsidRDefault="00892B56" w:rsidP="00892B56">
      <w:pPr>
        <w:ind w:left="420" w:hanging="420"/>
        <w:jc w:val="both"/>
      </w:pPr>
    </w:p>
    <w:p w:rsidR="00892B56" w:rsidRPr="00C07518" w:rsidRDefault="00892B56" w:rsidP="00892B56">
      <w:pPr>
        <w:ind w:left="840" w:hanging="420"/>
        <w:jc w:val="both"/>
      </w:pPr>
      <w:r w:rsidRPr="00C07518">
        <w:t>a)</w:t>
      </w:r>
      <w:r w:rsidRPr="00C07518">
        <w:tab/>
        <w:t xml:space="preserve">9,0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–14</w:t>
      </w:r>
      <w:r w:rsidRPr="00C07518">
        <w:t>.</w:t>
      </w:r>
    </w:p>
    <w:p w:rsidR="00892B56" w:rsidRPr="00C07518" w:rsidRDefault="00892B56" w:rsidP="00892B56">
      <w:pPr>
        <w:ind w:left="840" w:hanging="420"/>
        <w:jc w:val="both"/>
      </w:pPr>
      <w:r w:rsidRPr="00C07518">
        <w:t>b)</w:t>
      </w:r>
      <w:r w:rsidRPr="00C07518">
        <w:tab/>
        <w:t xml:space="preserve">6,0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–14</w:t>
      </w:r>
      <w:r w:rsidRPr="00C07518">
        <w:t>.</w:t>
      </w:r>
    </w:p>
    <w:p w:rsidR="00892B56" w:rsidRPr="00C07518" w:rsidRDefault="00892B56" w:rsidP="00892B56">
      <w:pPr>
        <w:ind w:left="840" w:hanging="420"/>
        <w:jc w:val="both"/>
      </w:pPr>
      <w:r w:rsidRPr="00C07518">
        <w:t>c)</w:t>
      </w:r>
      <w:r w:rsidRPr="00C07518">
        <w:tab/>
        <w:t xml:space="preserve">9,0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–12</w:t>
      </w:r>
      <w:r w:rsidRPr="00C07518">
        <w:t>.</w:t>
      </w:r>
    </w:p>
    <w:p w:rsidR="00892B56" w:rsidRPr="00C07518" w:rsidRDefault="00892B56" w:rsidP="00892B56">
      <w:pPr>
        <w:ind w:left="840" w:hanging="420"/>
        <w:jc w:val="both"/>
      </w:pPr>
      <w:r w:rsidRPr="00C07518">
        <w:t>d)</w:t>
      </w:r>
      <w:r w:rsidRPr="00C07518">
        <w:tab/>
        <w:t xml:space="preserve">1,0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–10</w:t>
      </w:r>
      <w:r w:rsidRPr="00C07518">
        <w:t>.</w:t>
      </w:r>
    </w:p>
    <w:p w:rsidR="00892B56" w:rsidRPr="00C07518" w:rsidRDefault="00892B56" w:rsidP="00892B56">
      <w:pPr>
        <w:ind w:left="840" w:hanging="420"/>
        <w:jc w:val="both"/>
      </w:pPr>
      <w:r w:rsidRPr="00C07518">
        <w:t>e)</w:t>
      </w:r>
      <w:r w:rsidRPr="00C07518">
        <w:tab/>
        <w:t xml:space="preserve">6,0 </w:t>
      </w:r>
      <w:r w:rsidRPr="00C07518">
        <w:sym w:font="Symbol" w:char="F0B4"/>
      </w:r>
      <w:r w:rsidRPr="00C07518">
        <w:t xml:space="preserve"> 10</w:t>
      </w:r>
      <w:r w:rsidRPr="00C07518">
        <w:rPr>
          <w:vertAlign w:val="superscript"/>
        </w:rPr>
        <w:t>–12</w:t>
      </w:r>
      <w:r w:rsidRPr="00C07518">
        <w:t>.</w:t>
      </w:r>
    </w:p>
    <w:p w:rsidR="00302BE2" w:rsidRPr="00892B56" w:rsidRDefault="00302BE2" w:rsidP="00892B56"/>
    <w:sectPr w:rsidR="00302BE2" w:rsidRPr="00892B56" w:rsidSect="00892B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2B56"/>
    <w:rsid w:val="001773BC"/>
    <w:rsid w:val="00195613"/>
    <w:rsid w:val="0023395C"/>
    <w:rsid w:val="00302BE2"/>
    <w:rsid w:val="00892B56"/>
    <w:rsid w:val="00D969A5"/>
    <w:rsid w:val="00FB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A0AE4-35BE-4C5E-A43A-D24BE0A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