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2E" w:rsidRDefault="007F5A2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F5A2E" w:rsidRPr="00046B74" w:rsidRDefault="007F5A2E" w:rsidP="007F5A2E">
      <w:pPr>
        <w:ind w:left="420"/>
      </w:pPr>
      <w:r w:rsidRPr="00046B74">
        <w:t xml:space="preserve">Uma amostra I de átomos de </w:t>
      </w:r>
      <w:r w:rsidRPr="00046B74">
        <w:rPr>
          <w:vertAlign w:val="superscript"/>
        </w:rPr>
        <w:t>57</w:t>
      </w:r>
      <w:r w:rsidRPr="00046B74">
        <w:t xml:space="preserve">Fe, cujos núcleos excitados emitem fótons devido a uma transição nuclear, está situada a uma altura </w:t>
      </w:r>
      <w:r w:rsidRPr="00046B74">
        <w:rPr>
          <w:rFonts w:eastAsia="CMMI12"/>
        </w:rPr>
        <w:t xml:space="preserve">d </w:t>
      </w:r>
      <w:r w:rsidRPr="00046B74">
        <w:t xml:space="preserve">verticalmente acima de uma amostra II de </w:t>
      </w:r>
      <w:r w:rsidRPr="00046B74">
        <w:rPr>
          <w:vertAlign w:val="superscript"/>
        </w:rPr>
        <w:t>57</w:t>
      </w:r>
      <w:r w:rsidRPr="00046B74">
        <w:t xml:space="preserve">Fe que recebe a radiação emitida pela amostra I. Ao chegar a II, os fótons da amostra I sofrem um aumento de frequência devido à redução de sua energia potencial gravitacional, sendo, portanto, incapazes de excitar os núcleos de </w:t>
      </w:r>
      <w:r w:rsidRPr="00046B74">
        <w:rPr>
          <w:vertAlign w:val="superscript"/>
        </w:rPr>
        <w:t>57</w:t>
      </w:r>
      <w:r w:rsidRPr="00046B74">
        <w:t xml:space="preserve">Fe dessa amostra. No entanto, essa incapacidade pode ser anulada se a amostra I se afastar verticalmente da amostra II com uma velocidade </w:t>
      </w:r>
      <w:r w:rsidRPr="00046B74">
        <w:rPr>
          <w:rFonts w:eastAsia="CMMI12"/>
        </w:rPr>
        <w:t xml:space="preserve">v </w:t>
      </w:r>
      <w:r w:rsidRPr="00046B74">
        <w:t xml:space="preserve">adequada. Considerando </w:t>
      </w:r>
      <w:r w:rsidRPr="00046B74">
        <w:rPr>
          <w:rFonts w:eastAsia="CMMI12"/>
        </w:rPr>
        <w:t xml:space="preserve">v </w:t>
      </w:r>
      <w:r w:rsidRPr="00046B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45pt;height:6.95pt">
            <v:imagedata r:id="rId4" o:title="" gain="79922f" blacklevel="-1966f" grayscale="t"/>
          </v:shape>
        </w:pict>
      </w:r>
      <w:r w:rsidRPr="00046B74">
        <w:t xml:space="preserve"> </w:t>
      </w:r>
      <w:r w:rsidRPr="00046B74">
        <w:rPr>
          <w:rFonts w:eastAsia="CMMI12"/>
        </w:rPr>
        <w:t xml:space="preserve">c e que a energia potencial gravitacional do fóton de energia </w:t>
      </w:r>
      <w:r w:rsidRPr="00046B74">
        <w:rPr>
          <w:rFonts w:eastAsia="CMMI12"/>
        </w:rPr>
        <w:sym w:font="Symbol" w:char="F065"/>
      </w:r>
      <w:r w:rsidRPr="00046B74">
        <w:rPr>
          <w:rFonts w:eastAsia="CMSY10"/>
        </w:rPr>
        <w:t xml:space="preserve"> </w:t>
      </w:r>
      <w:r w:rsidRPr="00046B74">
        <w:rPr>
          <w:rFonts w:eastAsia="CMMI12"/>
        </w:rPr>
        <w:t xml:space="preserve">pode ser obtida mediante sua “massa efetiva” </w:t>
      </w:r>
      <w:r w:rsidRPr="00046B74">
        <w:rPr>
          <w:rFonts w:eastAsia="CMMI12"/>
        </w:rPr>
        <w:sym w:font="Symbol" w:char="F065"/>
      </w:r>
      <w:r w:rsidRPr="00046B74">
        <w:rPr>
          <w:rFonts w:eastAsia="CMMI12"/>
        </w:rPr>
        <w:t>/c</w:t>
      </w:r>
      <w:r w:rsidRPr="00046B74">
        <w:rPr>
          <w:rFonts w:eastAsia="CMMI12"/>
          <w:vertAlign w:val="superscript"/>
        </w:rPr>
        <w:t>2</w:t>
      </w:r>
      <w:r w:rsidRPr="00046B74">
        <w:rPr>
          <w:rFonts w:eastAsia="CMMI12"/>
        </w:rPr>
        <w:t>, assinale a opção que explicita v. Se necessário, utilize (1 + x)</w:t>
      </w:r>
      <w:r w:rsidRPr="00046B74">
        <w:rPr>
          <w:rFonts w:eastAsia="CMMI12"/>
          <w:vertAlign w:val="superscript"/>
        </w:rPr>
        <w:t>n</w:t>
      </w:r>
      <w:r w:rsidRPr="00046B74">
        <w:rPr>
          <w:rFonts w:eastAsia="CMMI12"/>
        </w:rPr>
        <w:t xml:space="preserve"> </w:t>
      </w:r>
      <w:r w:rsidRPr="00046B74">
        <w:rPr>
          <w:rFonts w:eastAsia="CMMI12"/>
        </w:rPr>
        <w:sym w:font="Symbol" w:char="F040"/>
      </w:r>
      <w:r w:rsidRPr="00046B74">
        <w:rPr>
          <w:rFonts w:eastAsia="CMMI12"/>
        </w:rPr>
        <w:t xml:space="preserve"> 1 + nx para x </w:t>
      </w:r>
      <w:r w:rsidRPr="00046B74">
        <w:pict>
          <v:shape id="_x0000_i1026" type="#_x0000_t75" style="width:7.45pt;height:6.95pt">
            <v:imagedata r:id="rId4" o:title="" gain="79922f" blacklevel="-1966f" grayscale="t"/>
          </v:shape>
        </w:pict>
      </w:r>
      <w:r w:rsidRPr="00046B74">
        <w:t xml:space="preserve"> 1.</w:t>
      </w:r>
    </w:p>
    <w:p w:rsidR="007F5A2E" w:rsidRPr="00046B74" w:rsidRDefault="007F5A2E" w:rsidP="007F5A2E">
      <w:pPr>
        <w:ind w:left="420" w:hanging="420"/>
      </w:pPr>
    </w:p>
    <w:p w:rsidR="007F5A2E" w:rsidRPr="00046B74" w:rsidRDefault="007F5A2E" w:rsidP="007F5A2E">
      <w:pPr>
        <w:ind w:left="840" w:hanging="420"/>
      </w:pPr>
      <w:r w:rsidRPr="00046B74">
        <w:t>a)</w:t>
      </w:r>
      <w:r w:rsidRPr="00046B74">
        <w:tab/>
      </w:r>
      <w:r w:rsidRPr="00046B74">
        <w:rPr>
          <w:position w:val="-10"/>
        </w:rPr>
        <w:object w:dxaOrig="400" w:dyaOrig="340">
          <v:shape id="_x0000_i1027" type="#_x0000_t75" style="width:19.95pt;height:17.2pt" o:ole="">
            <v:imagedata r:id="rId5" o:title=""/>
          </v:shape>
          <o:OLEObject Type="Embed" ProgID="Equation.3" ShapeID="_x0000_i1027" DrawAspect="Content" ObjectID="_1536687518" r:id="rId6"/>
        </w:object>
      </w:r>
    </w:p>
    <w:p w:rsidR="007F5A2E" w:rsidRPr="00046B74" w:rsidRDefault="007F5A2E" w:rsidP="007F5A2E">
      <w:pPr>
        <w:ind w:left="840" w:hanging="420"/>
      </w:pPr>
      <w:r w:rsidRPr="00046B74">
        <w:t>b)</w:t>
      </w:r>
      <w:r w:rsidRPr="00046B74">
        <w:tab/>
        <w:t>gd/c</w:t>
      </w:r>
    </w:p>
    <w:p w:rsidR="007F5A2E" w:rsidRPr="00046B74" w:rsidRDefault="007F5A2E" w:rsidP="007F5A2E">
      <w:pPr>
        <w:ind w:left="840" w:hanging="420"/>
      </w:pPr>
      <w:r w:rsidRPr="00046B74">
        <w:t>c)</w:t>
      </w:r>
      <w:r w:rsidRPr="00046B74">
        <w:tab/>
      </w:r>
      <w:r w:rsidRPr="00046B74">
        <w:rPr>
          <w:position w:val="-10"/>
        </w:rPr>
        <w:object w:dxaOrig="499" w:dyaOrig="340">
          <v:shape id="_x0000_i1028" type="#_x0000_t75" style="width:25.1pt;height:17.2pt" o:ole="">
            <v:imagedata r:id="rId7" o:title=""/>
          </v:shape>
          <o:OLEObject Type="Embed" ProgID="Equation.3" ShapeID="_x0000_i1028" DrawAspect="Content" ObjectID="_1536687519" r:id="rId8"/>
        </w:object>
      </w:r>
    </w:p>
    <w:p w:rsidR="007F5A2E" w:rsidRPr="00046B74" w:rsidRDefault="007F5A2E" w:rsidP="007F5A2E">
      <w:pPr>
        <w:ind w:left="840" w:hanging="420"/>
      </w:pPr>
      <w:r w:rsidRPr="00046B74">
        <w:t>d)</w:t>
      </w:r>
      <w:r w:rsidRPr="00046B74">
        <w:tab/>
        <w:t>2gd/c</w:t>
      </w:r>
    </w:p>
    <w:p w:rsidR="007F5A2E" w:rsidRPr="00046B74" w:rsidRDefault="007F5A2E" w:rsidP="007F5A2E">
      <w:pPr>
        <w:ind w:left="840" w:hanging="420"/>
      </w:pPr>
      <w:r w:rsidRPr="00046B74">
        <w:t>e)</w:t>
      </w:r>
      <w:r w:rsidRPr="00046B74">
        <w:tab/>
      </w:r>
      <w:r w:rsidRPr="00046B74">
        <w:rPr>
          <w:position w:val="-10"/>
        </w:rPr>
        <w:object w:dxaOrig="859" w:dyaOrig="340">
          <v:shape id="_x0000_i1029" type="#_x0000_t75" style="width:42.75pt;height:17.2pt" o:ole="">
            <v:imagedata r:id="rId9" o:title=""/>
          </v:shape>
          <o:OLEObject Type="Embed" ProgID="Equation.3" ShapeID="_x0000_i1029" DrawAspect="Content" ObjectID="_1536687520" r:id="rId10"/>
        </w:object>
      </w:r>
    </w:p>
    <w:p w:rsidR="007F5A2E" w:rsidRPr="007F5A2E" w:rsidRDefault="007F5A2E" w:rsidP="007F5A2E"/>
    <w:sectPr w:rsidR="007F5A2E" w:rsidRPr="007F5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Microsoft JhengHei Light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5A2E"/>
    <w:rsid w:val="007F5A2E"/>
    <w:rsid w:val="00F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95AAC-6D92-46D3-B458-BED90CB2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