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92" w:rsidRDefault="004D699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D6992" w:rsidRPr="009555E0" w:rsidRDefault="004D6992" w:rsidP="004D6992">
      <w:pPr>
        <w:ind w:left="420"/>
        <w:jc w:val="both"/>
      </w:pPr>
      <w:r w:rsidRPr="009555E0">
        <w:t>Considere as figuras abaixo.</w:t>
      </w:r>
    </w:p>
    <w:p w:rsidR="004D6992" w:rsidRPr="009555E0" w:rsidRDefault="004D6992" w:rsidP="004D6992">
      <w:pPr>
        <w:ind w:left="420" w:hanging="420"/>
        <w:jc w:val="both"/>
      </w:pPr>
    </w:p>
    <w:p w:rsidR="004D6992" w:rsidRPr="009555E0" w:rsidRDefault="004D6992" w:rsidP="004D6992">
      <w:pPr>
        <w:jc w:val="center"/>
      </w:pPr>
      <w:r w:rsidRPr="009555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117.05pt">
            <v:imagedata r:id="rId4" o:title="" gain="79922f" blacklevel="-1966f" grayscale="t"/>
          </v:shape>
        </w:pict>
      </w:r>
    </w:p>
    <w:p w:rsidR="004D6992" w:rsidRPr="009555E0" w:rsidRDefault="004D6992" w:rsidP="004D6992">
      <w:pPr>
        <w:ind w:left="420" w:hanging="420"/>
        <w:jc w:val="both"/>
      </w:pPr>
    </w:p>
    <w:p w:rsidR="004D6992" w:rsidRPr="009555E0" w:rsidRDefault="004D6992" w:rsidP="004D6992">
      <w:pPr>
        <w:ind w:left="420"/>
        <w:jc w:val="both"/>
      </w:pPr>
      <w:r w:rsidRPr="009555E0">
        <w:t xml:space="preserve">Nuclídeo é um átomo de um elemento X, identificado por um número atômico Z e por um número de massa A: </w:t>
      </w:r>
      <w:r w:rsidRPr="009555E0">
        <w:rPr>
          <w:position w:val="-10"/>
        </w:rPr>
        <w:object w:dxaOrig="340" w:dyaOrig="340">
          <v:shape id="_x0000_i1026" type="#_x0000_t75" style="width:17.2pt;height:17.2pt" o:ole="">
            <v:imagedata r:id="rId5" o:title=""/>
          </v:shape>
          <o:OLEObject Type="Embed" ProgID="Equation.3" ShapeID="_x0000_i1026" DrawAspect="Content" ObjectID="_1536687528" r:id="rId6"/>
        </w:object>
      </w:r>
      <w:r w:rsidRPr="009555E0">
        <w:t>. A carta de nuclídeos é uma construção gráfica que organiza todos os nuclídeos existentes, estáveis e instáveis, em função dos números atômicos Z e de nêutrons N que eles apresentam. A distribuição dos nuclídeos está representada pela região cinza da Figura 1 acima. Nessa construção, isóbaros, isótopos e isótonos são facilmente identificados, assim como os produtos de decaimentos radioativos.</w:t>
      </w:r>
    </w:p>
    <w:p w:rsidR="004D6992" w:rsidRPr="009555E0" w:rsidRDefault="004D6992" w:rsidP="004D6992">
      <w:pPr>
        <w:ind w:left="420"/>
        <w:jc w:val="both"/>
      </w:pPr>
      <w:r w:rsidRPr="009555E0">
        <w:t xml:space="preserve">A Figura 2, excerto da Figura 1, destaca o nuclídeo </w:t>
      </w:r>
      <w:r w:rsidRPr="009555E0">
        <w:rPr>
          <w:position w:val="-10"/>
        </w:rPr>
        <w:object w:dxaOrig="520" w:dyaOrig="340">
          <v:shape id="_x0000_i1027" type="#_x0000_t75" style="width:26pt;height:17.2pt" o:ole="">
            <v:imagedata r:id="rId7" o:title=""/>
          </v:shape>
          <o:OLEObject Type="Embed" ProgID="Equation.3" ShapeID="_x0000_i1027" DrawAspect="Content" ObjectID="_1536687529" r:id="rId8"/>
        </w:object>
      </w:r>
      <w:r w:rsidRPr="009555E0">
        <w:t xml:space="preserve">, que decai principalmente por emissão de partículas </w:t>
      </w:r>
      <w:r w:rsidRPr="009555E0">
        <w:rPr>
          <w:position w:val="-6"/>
        </w:rPr>
        <w:object w:dxaOrig="200" w:dyaOrig="200">
          <v:shape id="_x0000_i1028" type="#_x0000_t75" style="width:10.2pt;height:10.2pt" o:ole="">
            <v:imagedata r:id="rId9" o:title=""/>
          </v:shape>
          <o:OLEObject Type="Embed" ProgID="Equation.3" ShapeID="_x0000_i1028" DrawAspect="Content" ObjectID="_1536687530" r:id="rId10"/>
        </w:object>
      </w:r>
      <w:r w:rsidRPr="009555E0">
        <w:t xml:space="preserve"> e por emissão de elétrons. Usando a Figura 2, podem-se identificar os produtos desses dois tipos de decaimento como, respectivamente,</w:t>
      </w:r>
    </w:p>
    <w:p w:rsidR="004D6992" w:rsidRPr="009555E0" w:rsidRDefault="004D6992" w:rsidP="004D6992">
      <w:pPr>
        <w:ind w:left="420" w:hanging="420"/>
        <w:jc w:val="both"/>
      </w:pPr>
    </w:p>
    <w:p w:rsidR="004D6992" w:rsidRPr="009555E0" w:rsidRDefault="004D6992" w:rsidP="004D6992">
      <w:pPr>
        <w:ind w:left="840" w:hanging="420"/>
        <w:jc w:val="both"/>
      </w:pPr>
      <w:r w:rsidRPr="009555E0">
        <w:t>a)</w:t>
      </w:r>
      <w:r w:rsidRPr="009555E0">
        <w:tab/>
      </w:r>
      <w:r w:rsidRPr="009555E0">
        <w:rPr>
          <w:position w:val="-10"/>
        </w:rPr>
        <w:object w:dxaOrig="480" w:dyaOrig="340">
          <v:shape id="_x0000_i1029" type="#_x0000_t75" style="width:24.15pt;height:17.2pt" o:ole="">
            <v:imagedata r:id="rId11" o:title=""/>
          </v:shape>
          <o:OLEObject Type="Embed" ProgID="Equation.3" ShapeID="_x0000_i1029" DrawAspect="Content" ObjectID="_1536687531" r:id="rId12"/>
        </w:object>
      </w:r>
      <w:r w:rsidRPr="009555E0">
        <w:t xml:space="preserve"> e </w:t>
      </w:r>
      <w:r w:rsidRPr="009555E0">
        <w:rPr>
          <w:position w:val="-10"/>
        </w:rPr>
        <w:object w:dxaOrig="520" w:dyaOrig="340">
          <v:shape id="_x0000_i1030" type="#_x0000_t75" style="width:26pt;height:17.2pt" o:ole="">
            <v:imagedata r:id="rId13" o:title=""/>
          </v:shape>
          <o:OLEObject Type="Embed" ProgID="Equation.3" ShapeID="_x0000_i1030" DrawAspect="Content" ObjectID="_1536687532" r:id="rId14"/>
        </w:object>
      </w:r>
      <w:r w:rsidRPr="009555E0">
        <w:t>.</w:t>
      </w:r>
    </w:p>
    <w:p w:rsidR="004D6992" w:rsidRPr="009555E0" w:rsidRDefault="004D6992" w:rsidP="004D6992">
      <w:pPr>
        <w:ind w:left="840" w:hanging="420"/>
        <w:jc w:val="both"/>
      </w:pPr>
      <w:r w:rsidRPr="009555E0">
        <w:t>b)</w:t>
      </w:r>
      <w:r w:rsidRPr="009555E0">
        <w:tab/>
      </w:r>
      <w:r w:rsidRPr="009555E0">
        <w:rPr>
          <w:position w:val="-10"/>
        </w:rPr>
        <w:object w:dxaOrig="480" w:dyaOrig="340">
          <v:shape id="_x0000_i1031" type="#_x0000_t75" style="width:24.15pt;height:17.2pt" o:ole="">
            <v:imagedata r:id="rId15" o:title=""/>
          </v:shape>
          <o:OLEObject Type="Embed" ProgID="Equation.3" ShapeID="_x0000_i1031" DrawAspect="Content" ObjectID="_1536687533" r:id="rId16"/>
        </w:object>
      </w:r>
      <w:r w:rsidRPr="009555E0">
        <w:t xml:space="preserve"> e </w:t>
      </w:r>
      <w:r w:rsidRPr="009555E0">
        <w:rPr>
          <w:position w:val="-10"/>
        </w:rPr>
        <w:object w:dxaOrig="520" w:dyaOrig="340">
          <v:shape id="_x0000_i1032" type="#_x0000_t75" style="width:26pt;height:17.2pt" o:ole="">
            <v:imagedata r:id="rId17" o:title=""/>
          </v:shape>
          <o:OLEObject Type="Embed" ProgID="Equation.3" ShapeID="_x0000_i1032" DrawAspect="Content" ObjectID="_1536687534" r:id="rId18"/>
        </w:object>
      </w:r>
      <w:r w:rsidRPr="009555E0">
        <w:t>.</w:t>
      </w:r>
    </w:p>
    <w:p w:rsidR="004D6992" w:rsidRPr="009555E0" w:rsidRDefault="004D6992" w:rsidP="004D6992">
      <w:pPr>
        <w:ind w:left="840" w:hanging="420"/>
        <w:jc w:val="both"/>
      </w:pPr>
      <w:r w:rsidRPr="009555E0">
        <w:t>c)</w:t>
      </w:r>
      <w:r w:rsidRPr="009555E0">
        <w:tab/>
      </w:r>
      <w:r w:rsidRPr="009555E0">
        <w:rPr>
          <w:position w:val="-10"/>
        </w:rPr>
        <w:object w:dxaOrig="480" w:dyaOrig="340">
          <v:shape id="_x0000_i1033" type="#_x0000_t75" style="width:24.15pt;height:17.2pt" o:ole="">
            <v:imagedata r:id="rId19" o:title=""/>
          </v:shape>
          <o:OLEObject Type="Embed" ProgID="Equation.3" ShapeID="_x0000_i1033" DrawAspect="Content" ObjectID="_1536687535" r:id="rId20"/>
        </w:object>
      </w:r>
      <w:r w:rsidRPr="009555E0">
        <w:t xml:space="preserve"> e </w:t>
      </w:r>
      <w:r w:rsidRPr="009555E0">
        <w:rPr>
          <w:position w:val="-10"/>
        </w:rPr>
        <w:object w:dxaOrig="520" w:dyaOrig="340">
          <v:shape id="_x0000_i1034" type="#_x0000_t75" style="width:26pt;height:17.2pt" o:ole="">
            <v:imagedata r:id="rId21" o:title=""/>
          </v:shape>
          <o:OLEObject Type="Embed" ProgID="Equation.3" ShapeID="_x0000_i1034" DrawAspect="Content" ObjectID="_1536687536" r:id="rId22"/>
        </w:object>
      </w:r>
      <w:r w:rsidRPr="009555E0">
        <w:t>.</w:t>
      </w:r>
    </w:p>
    <w:p w:rsidR="004D6992" w:rsidRPr="009555E0" w:rsidRDefault="004D6992" w:rsidP="004D6992">
      <w:pPr>
        <w:ind w:left="840" w:hanging="420"/>
        <w:jc w:val="both"/>
      </w:pPr>
      <w:r w:rsidRPr="009555E0">
        <w:t>d)</w:t>
      </w:r>
      <w:r w:rsidRPr="009555E0">
        <w:tab/>
      </w:r>
      <w:r w:rsidRPr="009555E0">
        <w:rPr>
          <w:position w:val="-10"/>
        </w:rPr>
        <w:object w:dxaOrig="480" w:dyaOrig="340">
          <v:shape id="_x0000_i1035" type="#_x0000_t75" style="width:24.15pt;height:17.2pt" o:ole="">
            <v:imagedata r:id="rId23" o:title=""/>
          </v:shape>
          <o:OLEObject Type="Embed" ProgID="Equation.3" ShapeID="_x0000_i1035" DrawAspect="Content" ObjectID="_1536687537" r:id="rId24"/>
        </w:object>
      </w:r>
      <w:r w:rsidRPr="009555E0">
        <w:t xml:space="preserve"> e </w:t>
      </w:r>
      <w:r w:rsidRPr="009555E0">
        <w:rPr>
          <w:position w:val="-10"/>
        </w:rPr>
        <w:object w:dxaOrig="520" w:dyaOrig="340">
          <v:shape id="_x0000_i1036" type="#_x0000_t75" style="width:26pt;height:17.2pt" o:ole="">
            <v:imagedata r:id="rId25" o:title=""/>
          </v:shape>
          <o:OLEObject Type="Embed" ProgID="Equation.3" ShapeID="_x0000_i1036" DrawAspect="Content" ObjectID="_1536687538" r:id="rId26"/>
        </w:object>
      </w:r>
      <w:r w:rsidRPr="009555E0">
        <w:t>.</w:t>
      </w:r>
    </w:p>
    <w:p w:rsidR="004D6992" w:rsidRPr="009555E0" w:rsidRDefault="004D6992" w:rsidP="004D6992">
      <w:pPr>
        <w:ind w:left="840" w:hanging="420"/>
        <w:jc w:val="both"/>
      </w:pPr>
      <w:r w:rsidRPr="009555E0">
        <w:t>e)</w:t>
      </w:r>
      <w:r w:rsidRPr="009555E0">
        <w:tab/>
      </w:r>
      <w:r w:rsidRPr="009555E0">
        <w:rPr>
          <w:position w:val="-10"/>
        </w:rPr>
        <w:object w:dxaOrig="480" w:dyaOrig="340">
          <v:shape id="_x0000_i1037" type="#_x0000_t75" style="width:24.15pt;height:17.2pt" o:ole="">
            <v:imagedata r:id="rId27" o:title=""/>
          </v:shape>
          <o:OLEObject Type="Embed" ProgID="Equation.3" ShapeID="_x0000_i1037" DrawAspect="Content" ObjectID="_1536687539" r:id="rId28"/>
        </w:object>
      </w:r>
      <w:r w:rsidRPr="009555E0">
        <w:t xml:space="preserve"> e </w:t>
      </w:r>
      <w:r w:rsidRPr="009555E0">
        <w:rPr>
          <w:position w:val="-10"/>
        </w:rPr>
        <w:object w:dxaOrig="480" w:dyaOrig="340">
          <v:shape id="_x0000_i1038" type="#_x0000_t75" style="width:24.15pt;height:17.2pt" o:ole="">
            <v:imagedata r:id="rId29" o:title=""/>
          </v:shape>
          <o:OLEObject Type="Embed" ProgID="Equation.3" ShapeID="_x0000_i1038" DrawAspect="Content" ObjectID="_1536687540" r:id="rId30"/>
        </w:object>
      </w:r>
      <w:r w:rsidRPr="009555E0">
        <w:t>.</w:t>
      </w:r>
    </w:p>
    <w:p w:rsidR="004D6992" w:rsidRPr="004D6992" w:rsidRDefault="004D6992" w:rsidP="004D6992"/>
    <w:sectPr w:rsidR="004D6992" w:rsidRPr="004D6992" w:rsidSect="004D6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6992"/>
    <w:rsid w:val="004D6992"/>
    <w:rsid w:val="006B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66DA5-655B-4E78-8B33-0417901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