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FC3" w:rsidRDefault="002C7FC3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2C7FC3" w:rsidRPr="001E42F7" w:rsidRDefault="002C7FC3" w:rsidP="002C7FC3">
      <w:pPr>
        <w:ind w:left="420"/>
        <w:jc w:val="both"/>
      </w:pPr>
      <w:r w:rsidRPr="001E42F7">
        <w:t>O Brasil possui tecnologia pioneira na produção de vacinas que abastecem o sistema público de saúde e são exportadas para mais de 70 países. Segundo o Manual de Normas de Vacinação da FUNASA ̶ Ministério da Saúde, a vacina contra tuberculose (BCG) deve ser conservada entre 2ºC e 8ºC. No caso de exportação dessa vacina para países de origem inglesa, como os Estados Unidos ou Belize, que adotam a escala Fahrenheit, as temperaturas de acondicionamento são, respectivamente, iguais a</w:t>
      </w:r>
    </w:p>
    <w:p w:rsidR="002C7FC3" w:rsidRPr="001E42F7" w:rsidRDefault="002C7FC3" w:rsidP="002C7FC3">
      <w:pPr>
        <w:ind w:left="420" w:hanging="420"/>
        <w:jc w:val="both"/>
      </w:pPr>
    </w:p>
    <w:p w:rsidR="002C7FC3" w:rsidRPr="001E42F7" w:rsidRDefault="002C7FC3" w:rsidP="002C7FC3">
      <w:pPr>
        <w:ind w:left="840" w:hanging="420"/>
        <w:jc w:val="both"/>
      </w:pPr>
      <w:r w:rsidRPr="001E42F7">
        <w:rPr>
          <w:bCs/>
        </w:rPr>
        <w:t>a)</w:t>
      </w:r>
      <w:r w:rsidRPr="001E42F7">
        <w:rPr>
          <w:bCs/>
        </w:rPr>
        <w:tab/>
      </w:r>
      <w:r w:rsidRPr="001E42F7">
        <w:t>275 ºF e 281 ºF.</w:t>
      </w:r>
    </w:p>
    <w:p w:rsidR="002C7FC3" w:rsidRPr="001E42F7" w:rsidRDefault="002C7FC3" w:rsidP="002C7FC3">
      <w:pPr>
        <w:ind w:left="840" w:hanging="420"/>
        <w:jc w:val="both"/>
      </w:pPr>
      <w:r w:rsidRPr="001E42F7">
        <w:rPr>
          <w:bCs/>
        </w:rPr>
        <w:t>b)</w:t>
      </w:r>
      <w:r w:rsidRPr="001E42F7">
        <w:rPr>
          <w:bCs/>
        </w:rPr>
        <w:tab/>
      </w:r>
      <w:r w:rsidRPr="001E42F7">
        <w:t>33,1 ºF e 36,4 ºF.</w:t>
      </w:r>
    </w:p>
    <w:p w:rsidR="002C7FC3" w:rsidRPr="001E42F7" w:rsidRDefault="002C7FC3" w:rsidP="002C7FC3">
      <w:pPr>
        <w:ind w:left="840" w:hanging="420"/>
        <w:jc w:val="both"/>
      </w:pPr>
      <w:r w:rsidRPr="001E42F7">
        <w:rPr>
          <w:bCs/>
        </w:rPr>
        <w:t>c)</w:t>
      </w:r>
      <w:r w:rsidRPr="001E42F7">
        <w:rPr>
          <w:bCs/>
        </w:rPr>
        <w:tab/>
      </w:r>
      <w:r w:rsidRPr="001E42F7">
        <w:t>35,6 ºF e 46,4 ºF.</w:t>
      </w:r>
    </w:p>
    <w:p w:rsidR="002C7FC3" w:rsidRPr="001E42F7" w:rsidRDefault="002C7FC3" w:rsidP="002C7FC3">
      <w:pPr>
        <w:ind w:left="840" w:hanging="420"/>
        <w:jc w:val="both"/>
      </w:pPr>
      <w:r w:rsidRPr="001E42F7">
        <w:rPr>
          <w:bCs/>
        </w:rPr>
        <w:t>d)</w:t>
      </w:r>
      <w:r w:rsidRPr="001E42F7">
        <w:rPr>
          <w:bCs/>
        </w:rPr>
        <w:tab/>
      </w:r>
      <w:r w:rsidRPr="001E42F7">
        <w:t>32 ºF e 212 ºF.</w:t>
      </w:r>
    </w:p>
    <w:p w:rsidR="002C7FC3" w:rsidRPr="001E42F7" w:rsidRDefault="002C7FC3" w:rsidP="002C7FC3">
      <w:pPr>
        <w:ind w:left="840" w:hanging="420"/>
        <w:jc w:val="both"/>
      </w:pPr>
      <w:r w:rsidRPr="001E42F7">
        <w:rPr>
          <w:bCs/>
        </w:rPr>
        <w:t>e)</w:t>
      </w:r>
      <w:r w:rsidRPr="001E42F7">
        <w:rPr>
          <w:bCs/>
        </w:rPr>
        <w:tab/>
      </w:r>
      <w:r w:rsidRPr="001E42F7">
        <w:t>3,6 ºF e 14,4 ºF.</w:t>
      </w:r>
    </w:p>
    <w:p w:rsidR="002C7FC3" w:rsidRPr="002C7FC3" w:rsidRDefault="002C7FC3" w:rsidP="002C7FC3"/>
    <w:sectPr w:rsidR="002C7FC3" w:rsidRPr="002C7FC3" w:rsidSect="002C7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7FC3"/>
    <w:rsid w:val="002C7FC3"/>
    <w:rsid w:val="0033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F47BF1-2273-4A1E-A6FB-0E55C2F7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