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Satellite Megaconstellation Contamination of NASA's SPHEREx</w:t>
      </w:r>
    </w:p>
    <w:p>
      <w:pPr>
        <w:spacing w:after="300"/>
        <w:jc w:val="center"/>
      </w:pPr>
      <w:r>
        <w:rPr>
          <w:i/>
          <w:iCs/>
          <w:sz w:val="24"/>
          <w:szCs w:val="24"/>
        </w:rPr>
        <w:t xml:space="preserve">Extension report: real-orbital-data analysis (revised September 2026)</w:t>
      </w:r>
    </w:p>
    <w:p>
      <w:pPr>
        <w:spacing w:after="40"/>
        <w:jc w:val="center"/>
      </w:pPr>
      <w:r>
        <w:rPr>
          <w:sz w:val="22"/>
          <w:szCs w:val="22"/>
        </w:rPr>
        <w:t xml:space="preserve">Joshanraj C V</w:t>
      </w:r>
    </w:p>
    <w:p>
      <w:pPr>
        <w:spacing w:after="300"/>
        <w:jc w:val="center"/>
      </w:pPr>
      <w:r>
        <w:rPr>
          <w:sz w:val="20"/>
          <w:szCs w:val="20"/>
        </w:rPr>
        <w:t xml:space="preserve">B.Sc. Physics, SRM Institute of Science and Technology (SRM KTR), Chennai</w:t>
      </w:r>
    </w:p>
    <w:p>
      <w:pPr>
        <w:pStyle w:val="Heading2"/>
        <w:spacing w:after="120" w:before="240"/>
      </w:pPr>
      <w:r>
        <w:t xml:space="preserve">A note on scope</w:t>
      </w:r>
    </w:p>
    <w:p>
      <w:pPr>
        <w:spacing w:after="160"/>
      </w:pPr>
      <w:r>
        <w:rPr>
          <w:sz w:val="21"/>
          <w:szCs w:val="21"/>
        </w:rPr>
        <w:t xml:space="preserve">This report is separate from the undergraduate thesis “Investigation on Celestial Events and Megaconstellation Effects on Telescopes” (SRM Institute of Science and Technology, April 2026, supervised by Dr. Tushar H. Rana), which used a reflectivity-based surface-brightness model for four representative satellites and did not include orbital propagation, Monte Carlo statistics, blackbody modelling or TLE error analysis. Everything below was computed afterwards, from real orbital data. Section numbers follow the combined project report.</w:t>
      </w:r>
    </w:p>
    <w:p>
      <w:pPr>
        <w:pStyle w:val="Heading2"/>
        <w:spacing w:after="120" w:before="240"/>
      </w:pPr>
      <w:r>
        <w:t xml:space="preserve">What changed in this revision</w:t>
      </w:r>
    </w:p>
    <w:p>
      <w:pPr>
        <w:pStyle w:val="ListParagraph"/>
        <w:numPr>
          <w:ilvl w:val="0"/>
          <w:numId w:val="1"/>
        </w:numPr>
        <w:spacing w:after="80"/>
        <w:rPr>
          <w:sz w:val="21"/>
          <w:szCs w:val="21"/>
        </w:rPr>
      </w:pPr>
      <w:r>
        <w:t xml:space="preserve">SPHEREx's real survey constraints (35° maximum zenith angle, 91° solar avoidance) are applied, with random accessible pointings and a random field roll in place of a fixed North Ecliptic Pole boresight.</w:t>
      </w:r>
    </w:p>
    <w:p>
      <w:pPr>
        <w:pStyle w:val="ListParagraph"/>
        <w:numPr>
          <w:ilvl w:val="0"/>
          <w:numId w:val="1"/>
        </w:numPr>
        <w:spacing w:after="80"/>
        <w:rPr>
          <w:sz w:val="21"/>
          <w:szCs w:val="21"/>
        </w:rPr>
      </w:pPr>
      <w:r>
        <w:t xml:space="preserve">Guowang and Qianfan altitudes corrected to their filed values (~1,145 km and ~1,160 km); no proportional scaling to 560,000 satellites.</w:t>
      </w:r>
    </w:p>
    <w:p>
      <w:pPr>
        <w:pStyle w:val="ListParagraph"/>
        <w:numPr>
          <w:ilvl w:val="0"/>
          <w:numId w:val="1"/>
        </w:numPr>
        <w:spacing w:after="80"/>
        <w:rPr>
          <w:sz w:val="21"/>
          <w:szCs w:val="21"/>
        </w:rPr>
      </w:pPr>
      <w:r>
        <w:t xml:space="preserve">Model averaged over 12 dates across a year with an accurate Sun position and the true 3.5° × 11.3° field; time step converged (0.1 s).</w:t>
      </w:r>
    </w:p>
    <w:p>
      <w:pPr>
        <w:pStyle w:val="ListParagraph"/>
        <w:numPr>
          <w:ilvl w:val="0"/>
          <w:numId w:val="1"/>
        </w:numPr>
        <w:spacing w:after="80"/>
        <w:rPr>
          <w:sz w:val="21"/>
          <w:szCs w:val="21"/>
        </w:rPr>
      </w:pPr>
      <w:r>
        <w:t xml:space="preserve">Full-build-out prediction revised from 64.9 (first version) and 4.5 (previous revision, which had a fixed field roll and a single date) to 5.9 ± 0.1 trails/exposure (Borlaff et al.: 5.64). The rate as of September 2026 is ~0.24; the earliest ~2.3 figure is withdrawn.</w:t>
      </w:r>
    </w:p>
    <w:p>
      <w:pPr>
        <w:pStyle w:val="ListParagraph"/>
        <w:numPr>
          <w:ilvl w:val="0"/>
          <w:numId w:val="1"/>
        </w:numPr>
        <w:spacing w:after="80"/>
        <w:rPr>
          <w:sz w:val="21"/>
          <w:szCs w:val="21"/>
        </w:rPr>
      </w:pPr>
      <w:r>
        <w:t xml:space="preserve">Real-orbit validation rebuilt like-for-like (same dates, roll and detection as the model), with uncertainty from window-to-window scatter: real/model = 1.01 (68% interval 0.62–1.37).</w:t>
      </w:r>
    </w:p>
    <w:p>
      <w:pPr>
        <w:pStyle w:val="ListParagraph"/>
        <w:numPr>
          <w:ilvl w:val="0"/>
          <w:numId w:val="1"/>
        </w:numPr>
        <w:spacing w:after="80"/>
        <w:rPr>
          <w:sz w:val="21"/>
          <w:szCs w:val="21"/>
        </w:rPr>
      </w:pPr>
      <w:r>
        <w:t xml:space="preserve">Crossover between thermal and reflected light now quoted as a model-dependent range (3.4–4.1 μm) instead of a single value; instrument description corrected (six detectors in two focal planes).</w:t>
      </w:r>
    </w:p>
    <w:p>
      <w:r>
        <w:br w:type="page"/>
      </w:r>
    </w:p>
    <w:p>
      <w:pPr>
        <w:pStyle w:val="Heading1"/>
        <w:spacing w:after="150" w:before="320"/>
      </w:pPr>
      <w:r>
        <w:t xml:space="preserve">6. Extended Methodology: Real Orbital Data</w:t>
      </w:r>
    </w:p>
    <w:p>
      <w:pPr>
        <w:spacing w:after="160"/>
      </w:pPr>
      <w:r>
        <w:rPr>
          <w:sz w:val="21"/>
          <w:szCs w:val="21"/>
        </w:rPr>
        <w:t xml:space="preserve">Sections 6–9 report a new extension, built independently of §5. Every number is either printed by a script in the accompanying repository (github.com/Joshan006/Spherex; script named in brackets) or is an explicitly cited external value. Superseded earlier scripts are kept separately in scripts/superseded for the record. An independent review of the code identified several errors that are corrected here (§7.2).</w:t>
      </w:r>
    </w:p>
    <w:p>
      <w:pPr>
        <w:pStyle w:val="Heading2"/>
        <w:spacing w:after="120" w:before="240"/>
      </w:pPr>
      <w:r>
        <w:t xml:space="preserve">6.1 Real orbital data</w:t>
      </w:r>
    </w:p>
    <w:p>
      <w:pPr>
        <w:spacing w:after="160"/>
      </w:pPr>
      <w:r>
        <w:rPr>
          <w:sz w:val="21"/>
          <w:szCs w:val="21"/>
        </w:rPr>
        <w:t xml:space="preserve">Orbital elements are real two-line element sets (TLEs) from the public NORAD catalogue (Celestrak, via KeepTrack), retrieved September 2026; every line passes the TLE checksum. SPHEREx: NORAD 63182 (epoch 19 Jul 2026). OneWeb-0617: NORAD 55158 (~1,220 km, 87.9°; epoch 15 Sep 2026). Propagation uses the reference sgp4 library in the TEME frame; all derived quantities are differences of state vectors in the same frame. Where orbits are propagated months from their TLE epoch (§6.4), SGP4 does not predict where a satellite will actually be; it provides physically consistent reference orbits (altitudes stay stable to within a few km over a year), which is what a statistical comparison requires.</w:t>
      </w:r>
    </w:p>
    <w:p>
      <w:pPr>
        <w:pStyle w:val="Heading2"/>
        <w:spacing w:after="120" w:before="240"/>
      </w:pPr>
      <w:r>
        <w:t xml:space="preserve">6.2 Pointing and field-of-view model</w:t>
      </w:r>
    </w:p>
    <w:p>
      <w:pPr>
        <w:spacing w:after="160"/>
      </w:pPr>
      <w:r>
        <w:rPr>
          <w:sz w:val="21"/>
          <w:szCs w:val="21"/>
        </w:rPr>
        <w:t xml:space="preserve">SPHEREx's survey rules (Borlaff et al. 2025, Methods) are applied directly. For each simulated exposure, SPHEREx's position is drawn from one real SGP4-propagated orbit at the chosen date; a boresight is drawn uniformly in solid angle within 35° of local zenith (the outward radial direction at SPHEREx) and redrawn until it is at least 91° from the Sun. Over the year the angle between zenith and the Sun ranges from about 60° to 120°, and a valid pointing is found at every sampled orbital phase on every date. The 3.5° × 11.3° field (Crill et al. 2024) is centred on the boresight with a random roll, fixed inertially during the exposure. A satellite counts as a trail if, at any instant of the 112.5 s exposure, it lies inside the field, is not behind Earth, and is sunlit (cylindrical Earth shadow). The Sun direction uses the standard low-precision solar ephemeris including the equation of centre (accurate to ~0.01°). [spherex_geometry.py]</w:t>
      </w:r>
    </w:p>
    <w:p>
      <w:pPr>
        <w:pStyle w:val="Heading2"/>
        <w:spacing w:after="120" w:before="240"/>
      </w:pPr>
      <w:r>
        <w:t xml:space="preserve">6.3 Constellation model and averaging</w:t>
      </w:r>
    </w:p>
    <w:p>
      <w:pPr>
        <w:spacing w:after="160"/>
      </w:pPr>
      <w:r>
        <w:rPr>
          <w:sz w:val="21"/>
          <w:szCs w:val="21"/>
        </w:rPr>
        <w:t xml:space="preserve">Each constellation is modelled as circular-orbit shells (altitude and inclination from public filings) with right ascension of ascending node and orbital phase drawn uniformly at random. Shells above SPHEREx: OneWeb 1,200 km / 87.9° (6,372 filed); Guowang GW-2 ~1,145 km, split equally between 50° and 86.5° (6,912); Qianfan ~1,160 km / ~89° (~15,000 filed); Telesat Lightspeed 1,015 km / 99° (78) and 1,325 km / 50.9° (120). Below-SPHEREx control shells: Starlink 550 km / 53° and 530 km / 43°, Amazon Leo 630 km / 51.9°, Guowang GW-A59 590 km / 85°. The model is averaged over 12 dates spread across a year (Sep 2026 – Aug 2027), with 400,000 simulated exposures per shell per date and two independent random seeds: 9.6 million exposures per above-orbit shell, about 62 million in total. [13_final_model_year_averaged.py, 17_summarise_results.py]</w:t>
      </w:r>
    </w:p>
    <w:p>
      <w:pPr>
        <w:spacing w:after="160"/>
      </w:pPr>
      <w:r>
        <w:rPr>
          <w:sz w:val="21"/>
          <w:szCs w:val="21"/>
        </w:rPr>
        <w:t xml:space="preserve">Time resolution matters because observable crossings are near-overhead and fast (§7.7). A convergence test on identical random draws recovers 0.58, 0.85 and 0.97 of the converged count at 7.5 s, 2.5 s and 1 s steps, with no change at 0.5 s or below. The model therefore flags candidates in a 2.5 s pass with the field padded by 4° and re-checks only those at 0.1 s; on identical draws this reproduces brute-force 0.1 s detection exactly (33 of 33 crossings). [14_convergence_test.py]</w:t>
      </w:r>
    </w:p>
    <w:p>
      <w:pPr>
        <w:pStyle w:val="Heading2"/>
        <w:spacing w:after="120" w:before="240"/>
      </w:pPr>
      <w:r>
        <w:t xml:space="preserve">6.4 Real-orbit validation</w:t>
      </w:r>
    </w:p>
    <w:p>
      <w:pPr>
        <w:spacing w:after="160"/>
      </w:pPr>
      <w:r>
        <w:rPr>
          <w:sz w:val="21"/>
          <w:szCs w:val="21"/>
        </w:rPr>
        <w:t xml:space="preserve">The real OneWeb-0617 orbit is propagated against the real SPHEREx orbit across twelve 30-day windows spread over a year, so that the Sun-synchronous SPHEREx plane rotates through every orientation relative to the OneWeb plane. Every 112.5 s exposure receives 20 independent random valid pointings, with the same random roll, Sun ephemeris and coarse-plus-fine detection as the model. The pooled crossing probability is compared with the idealised OneWeb shell evaluated on the same 12 dates. Because the 20 pointings share one satellite trajectory, their crossings are not independent, so the uncertainty is taken from bootstrap resampling of the twelve windows. [15_real_oneweb_validation.py]</w:t>
      </w:r>
    </w:p>
    <w:p>
      <w:pPr>
        <w:pStyle w:val="Heading2"/>
        <w:spacing w:after="120" w:before="240"/>
      </w:pPr>
      <w:r>
        <w:t xml:space="preserve">6.5 Photometry and TLE error budget</w:t>
      </w:r>
    </w:p>
    <w:p>
      <w:pPr>
        <w:spacing w:after="160"/>
      </w:pPr>
      <w:r>
        <w:rPr>
          <w:sz w:val="21"/>
          <w:szCs w:val="21"/>
        </w:rPr>
        <w:t xml:space="preserve">Thermal emission and reflected sunlight are computed across 0.75–5.01 μm for three surface models, because the wavelength at which they cross depends on the model: (A) a flat plate face-on to both Sun and observer; (B) a Lambertian sphere at each event's phase angle, with the flat-plate equilibrium temperature; (C) an isothermal sphere. Albedo 0.25 and emissivity 0.9 are used consistently for both the equilibrium temperature and the emitted flux. The TLE error budget takes ~1 km at epoch plus ~2 km/day (mid-range of the 1–3 km/day literature figure) as an isotropic 1-sigma error on both objects and propagates it by Monte Carlo into range and magnitude for every observable crossing, for operational TLE ages of 1, 3 and 7 days. [16_observable_events_photometry.py]</w:t>
      </w:r>
    </w:p>
    <w:p>
      <w:r>
        <w:br w:type="page"/>
      </w:r>
    </w:p>
    <w:p>
      <w:pPr>
        <w:pStyle w:val="Heading1"/>
        <w:spacing w:after="150" w:before="320"/>
      </w:pPr>
      <w:r>
        <w:t xml:space="preserve">7. Extended Results</w:t>
      </w:r>
    </w:p>
    <w:p>
      <w:pPr>
        <w:pStyle w:val="Heading2"/>
        <w:spacing w:after="120" w:before="240"/>
      </w:pPr>
      <w:r>
        <w:t xml:space="preserve">7.1 Single-pair full-exposure propagation</w:t>
      </w:r>
    </w:p>
    <w:p>
      <w:pPr>
        <w:spacing w:after="160"/>
      </w:pPr>
      <w:r>
        <w:rPr>
          <w:sz w:val="21"/>
          <w:szCs w:val="21"/>
        </w:rPr>
        <w:t xml:space="preserve">SPHEREx and OneWeb-0617 propagated together across one 112.5 s exposure (0.5 s steps, 16 Sep 2026 06:00 UTC) establish the geometry machinery: range 12,770 → 13,161 km, apparent angular velocity 196–207 arcsec/s, no field crossing. Individual conjunctions are rare, which is why the population approach below is needed. [01_full_window_propagation.py]</w:t>
      </w:r>
    </w:p>
    <w:p>
      <w:pPr>
        <w:spacing w:after="60" w:before="120"/>
        <w:jc w:val="center"/>
      </w:pPr>
      <w:r>
        <w:drawing>
          <wp:inline distT="0" distB="0" distL="0" distR="0">
            <wp:extent cx="4000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38425"/>
                    </a:xfrm>
                    <a:prstGeom prst="rect">
                      <a:avLst/>
                    </a:prstGeom>
                  </pic:spPr>
                </pic:pic>
              </a:graphicData>
            </a:graphic>
          </wp:inline>
        </w:drawing>
      </w:r>
    </w:p>
    <w:p>
      <w:pPr>
        <w:spacing w:after="240"/>
        <w:jc w:val="center"/>
      </w:pPr>
      <w:r>
        <w:rPr>
          <w:i/>
          <w:iCs/>
          <w:sz w:val="18"/>
          <w:szCs w:val="18"/>
        </w:rPr>
        <w:t xml:space="preserve">Figure 7.1. Apparent angular velocity of OneWeb-0617 seen from SPHEREx across one exposure, from real SGP4 state vectors.</w:t>
      </w:r>
    </w:p>
    <w:p>
      <w:pPr>
        <w:pStyle w:val="Heading2"/>
        <w:spacing w:after="120" w:before="240"/>
      </w:pPr>
      <w:r>
        <w:t xml:space="preserve">7.2 How the discrepancy with the literature was found and corrected</w:t>
      </w:r>
    </w:p>
    <w:p>
      <w:pPr>
        <w:spacing w:after="160"/>
      </w:pPr>
      <w:r>
        <w:rPr>
          <w:sz w:val="21"/>
          <w:szCs w:val="21"/>
        </w:rPr>
        <w:t xml:space="preserve">The first version of the model (fixed North Ecliptic Pole boresight, no survey constraints, a representative shell set scaled proportionally to 560,000 satellites) predicted 64.9 trails per exposure at full build-out, 11.5× Borlaff et al.'s 5.64. Figure 7.2 traces each step. Eclipse and brightness cuts changed nothing. Random unconstrained pointings made it worse (95.2). Applying SPHEREx's 35° zenith limit and 91° solar avoidance, which the paper's Methods specify and the first model had omitted, brought it to 11.4 and then 7.0–7.7. Correcting two constellation altitudes (Guowang and Qianfan had been placed at 800 km and 580 km; their filed shells are ~1,145 km and ~1,160 km), dropping proportional scaling, and converging the time step gave 4.5.</w:t>
      </w:r>
    </w:p>
    <w:p>
      <w:pPr>
        <w:spacing w:after="160"/>
      </w:pPr>
      <w:r>
        <w:rPr>
          <w:sz w:val="21"/>
          <w:szCs w:val="21"/>
        </w:rPr>
        <w:t xml:space="preserve">An independent review of the code then found that the field's roll had been effectively fixed in inertial space although the text described it as random, that the model had been evaluated on a single date, and that the time-step test had not actually varied the time step. Fixing these (random roll, 12 dates across a year, accurate Sun, the true 3.5° × 11.3° field) raised the result by about 30% to the value in §7.4. The roll correction was the largest single change.</w:t>
      </w:r>
    </w:p>
    <w:p>
      <w:pPr>
        <w:spacing w:after="60" w:before="12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686050"/>
                    </a:xfrm>
                    <a:prstGeom prst="rect">
                      <a:avLst/>
                    </a:prstGeom>
                  </pic:spPr>
                </pic:pic>
              </a:graphicData>
            </a:graphic>
          </wp:inline>
        </w:drawing>
      </w:r>
    </w:p>
    <w:p>
      <w:pPr>
        <w:spacing w:after="240"/>
        <w:jc w:val="center"/>
      </w:pPr>
      <w:r>
        <w:rPr>
          <w:i/>
          <w:iCs/>
          <w:sz w:val="18"/>
          <w:szCs w:val="18"/>
        </w:rPr>
        <w:t xml:space="preserve">Figure 7.2. Predicted full-build-out trail rate at each stage of the investigation (log scale). Grey: superseded stages. Blue: final model. Orange band: Borlaff et al. (2025).</w:t>
      </w:r>
    </w:p>
    <w:p>
      <w:pPr>
        <w:spacing w:after="160"/>
      </w:pPr>
      <w:r>
        <w:rPr>
          <w:sz w:val="21"/>
          <w:szCs w:val="21"/>
        </w:rPr>
        <w:t xml:space="preserve">The investigation also invalidates a headline figure from the earliest version of this work, ~2.3 trails per exposure for the current population “at a representative sky pointing”. That rate came from the fixed North Ecliptic Pole boresight: at all 36 real crossings behind it the pole was 101–164° from SPHEREx's zenith, a direction SPHEREx never points, and about 80% of it came from Starlink, which SPHEREx cannot see (§7.3). The figure is withdrawn and replaced by §7.5.</w:t>
      </w:r>
    </w:p>
    <w:p>
      <w:pPr>
        <w:pStyle w:val="Heading2"/>
        <w:spacing w:after="120" w:before="240"/>
      </w:pPr>
      <w:r>
        <w:t xml:space="preserve">7.3 Only satellites above SPHEREx's orbit can cross its field</w:t>
      </w:r>
    </w:p>
    <w:p>
      <w:pPr>
        <w:spacing w:after="160"/>
      </w:pPr>
      <w:r>
        <w:rPr>
          <w:sz w:val="21"/>
          <w:szCs w:val="21"/>
        </w:rPr>
        <w:t xml:space="preserve">With the boresight within 35° of zenith, every line of sight inside the field stays well below 90° from local vertical during the exposure, so it climbs monotonically away from Earth and can only intersect orbits higher than SPHEREx's own. The simulation confirms this: the four below-orbit control shells (Starlink 550 and 530 km, Amazon Leo 630 km, Guowang GW-A59 590 km) produced 0 crossings in about 4.8 million valid exposures. Most satellites in orbit as of September 2026 are Starlink, so most of the current satellite population is invisible to SPHEREx's survey.</w:t>
      </w:r>
    </w:p>
    <w:p>
      <w:pPr>
        <w:pStyle w:val="Heading2"/>
        <w:spacing w:after="120" w:before="240"/>
      </w:pPr>
      <w:r>
        <w:t xml:space="preserve">7.4 Full build-out prediction versus Borlaff et al.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2150"/>
        <w:gridCol w:w="1700"/>
      </w:tblGrid>
      <w:tr>
        <w:tc>
          <w:tcPr>
            <w:tcW w:type="dxa" w:w="2300"/>
            <w:shd w:fill="2C5F8A" w:val="clear"/>
          </w:tcPr>
          <w:p>
            <w:r>
              <w:rPr>
                <w:b/>
                <w:bCs/>
                <w:color w:val="FFFFFF"/>
                <w:sz w:val="20"/>
                <w:szCs w:val="20"/>
              </w:rPr>
              <w:t xml:space="preserve">Constellation (above SPHEREx)</w:t>
            </w:r>
          </w:p>
        </w:tc>
        <w:tc>
          <w:tcPr>
            <w:tcW w:type="dxa" w:w="1700"/>
            <w:shd w:fill="2C5F8A" w:val="clear"/>
          </w:tcPr>
          <w:p>
            <w:r>
              <w:rPr>
                <w:b/>
                <w:bCs/>
                <w:color w:val="FFFFFF"/>
                <w:sz w:val="20"/>
                <w:szCs w:val="20"/>
              </w:rPr>
              <w:t xml:space="preserve">Altitude / incl.</w:t>
            </w:r>
          </w:p>
        </w:tc>
        <w:tc>
          <w:tcPr>
            <w:tcW w:type="dxa" w:w="1500"/>
            <w:shd w:fill="2C5F8A" w:val="clear"/>
          </w:tcPr>
          <w:p>
            <w:r>
              <w:rPr>
                <w:b/>
                <w:bCs/>
                <w:color w:val="FFFFFF"/>
                <w:sz w:val="20"/>
                <w:szCs w:val="20"/>
              </w:rPr>
              <w:t xml:space="preserve">Filed sats</w:t>
            </w:r>
          </w:p>
        </w:tc>
        <w:tc>
          <w:tcPr>
            <w:tcW w:type="dxa" w:w="2150"/>
            <w:shd w:fill="2C5F8A" w:val="clear"/>
          </w:tcPr>
          <w:p>
            <w:r>
              <w:rPr>
                <w:b/>
                <w:bCs/>
                <w:color w:val="FFFFFF"/>
                <w:sz w:val="20"/>
                <w:szCs w:val="20"/>
              </w:rPr>
              <w:t xml:space="preserve">P(cross) per sat per exposure</w:t>
            </w:r>
          </w:p>
        </w:tc>
        <w:tc>
          <w:tcPr>
            <w:tcW w:type="dxa" w:w="1700"/>
            <w:shd w:fill="2C5F8A" w:val="clear"/>
          </w:tcPr>
          <w:p>
            <w:r>
              <w:rPr>
                <w:b/>
                <w:bCs/>
                <w:color w:val="FFFFFF"/>
                <w:sz w:val="20"/>
                <w:szCs w:val="20"/>
              </w:rPr>
              <w:t xml:space="preserve">Trails / exposure</w:t>
            </w:r>
          </w:p>
        </w:tc>
      </w:tr>
      <w:tr>
        <w:tc>
          <w:tcPr>
            <w:tcW w:type="dxa" w:w="2300"/>
          </w:tcPr>
          <w:p>
            <w:r>
              <w:rPr>
                <w:b w:val="false"/>
                <w:bCs w:val="false"/>
                <w:color w:val="000000"/>
                <w:sz w:val="20"/>
                <w:szCs w:val="20"/>
              </w:rPr>
              <w:t xml:space="preserve">OneWeb</w:t>
            </w:r>
          </w:p>
        </w:tc>
        <w:tc>
          <w:tcPr>
            <w:tcW w:type="dxa" w:w="1700"/>
          </w:tcPr>
          <w:p>
            <w:r>
              <w:rPr>
                <w:b w:val="false"/>
                <w:bCs w:val="false"/>
                <w:color w:val="000000"/>
                <w:sz w:val="20"/>
                <w:szCs w:val="20"/>
              </w:rPr>
              <w:t xml:space="preserve">1,200 km / 87.9°</w:t>
            </w:r>
          </w:p>
        </w:tc>
        <w:tc>
          <w:tcPr>
            <w:tcW w:type="dxa" w:w="1500"/>
          </w:tcPr>
          <w:p>
            <w:r>
              <w:rPr>
                <w:b w:val="false"/>
                <w:bCs w:val="false"/>
                <w:color w:val="000000"/>
                <w:sz w:val="20"/>
                <w:szCs w:val="20"/>
              </w:rPr>
              <w:t xml:space="preserve">6,372</w:t>
            </w:r>
          </w:p>
        </w:tc>
        <w:tc>
          <w:tcPr>
            <w:tcW w:type="dxa" w:w="2150"/>
          </w:tcPr>
          <w:p>
            <w:r>
              <w:rPr>
                <w:b w:val="false"/>
                <w:bCs w:val="false"/>
                <w:color w:val="000000"/>
                <w:sz w:val="20"/>
                <w:szCs w:val="20"/>
              </w:rPr>
              <w:t xml:space="preserve">2.31 × 10⁻⁴</w:t>
            </w:r>
          </w:p>
        </w:tc>
        <w:tc>
          <w:tcPr>
            <w:tcW w:type="dxa" w:w="1700"/>
          </w:tcPr>
          <w:p>
            <w:r>
              <w:rPr>
                <w:b w:val="false"/>
                <w:bCs w:val="false"/>
                <w:color w:val="000000"/>
                <w:sz w:val="20"/>
                <w:szCs w:val="20"/>
              </w:rPr>
              <w:t xml:space="preserve">1.47</w:t>
            </w:r>
          </w:p>
        </w:tc>
      </w:tr>
      <w:tr>
        <w:tc>
          <w:tcPr>
            <w:tcW w:type="dxa" w:w="2300"/>
          </w:tcPr>
          <w:p>
            <w:r>
              <w:rPr>
                <w:b w:val="false"/>
                <w:bCs w:val="false"/>
                <w:color w:val="000000"/>
                <w:sz w:val="20"/>
                <w:szCs w:val="20"/>
              </w:rPr>
              <w:t xml:space="preserve">Guowang GW-2 (half)</w:t>
            </w:r>
          </w:p>
        </w:tc>
        <w:tc>
          <w:tcPr>
            <w:tcW w:type="dxa" w:w="1700"/>
          </w:tcPr>
          <w:p>
            <w:r>
              <w:rPr>
                <w:b w:val="false"/>
                <w:bCs w:val="false"/>
                <w:color w:val="000000"/>
                <w:sz w:val="20"/>
                <w:szCs w:val="20"/>
              </w:rPr>
              <w:t xml:space="preserve">1,145 km / 50°</w:t>
            </w:r>
          </w:p>
        </w:tc>
        <w:tc>
          <w:tcPr>
            <w:tcW w:type="dxa" w:w="1500"/>
          </w:tcPr>
          <w:p>
            <w:r>
              <w:rPr>
                <w:b w:val="false"/>
                <w:bCs w:val="false"/>
                <w:color w:val="000000"/>
                <w:sz w:val="20"/>
                <w:szCs w:val="20"/>
              </w:rPr>
              <w:t xml:space="preserve">3,456</w:t>
            </w:r>
          </w:p>
        </w:tc>
        <w:tc>
          <w:tcPr>
            <w:tcW w:type="dxa" w:w="2150"/>
          </w:tcPr>
          <w:p>
            <w:r>
              <w:rPr>
                <w:b w:val="false"/>
                <w:bCs w:val="false"/>
                <w:color w:val="000000"/>
                <w:sz w:val="20"/>
                <w:szCs w:val="20"/>
              </w:rPr>
              <w:t xml:space="preserve">1.45 × 10⁻⁴</w:t>
            </w:r>
          </w:p>
        </w:tc>
        <w:tc>
          <w:tcPr>
            <w:tcW w:type="dxa" w:w="1700"/>
          </w:tcPr>
          <w:p>
            <w:r>
              <w:rPr>
                <w:b w:val="false"/>
                <w:bCs w:val="false"/>
                <w:color w:val="000000"/>
                <w:sz w:val="20"/>
                <w:szCs w:val="20"/>
              </w:rPr>
              <w:t xml:space="preserve">0.50</w:t>
            </w:r>
          </w:p>
        </w:tc>
      </w:tr>
      <w:tr>
        <w:tc>
          <w:tcPr>
            <w:tcW w:type="dxa" w:w="2300"/>
          </w:tcPr>
          <w:p>
            <w:r>
              <w:rPr>
                <w:b w:val="false"/>
                <w:bCs w:val="false"/>
                <w:color w:val="000000"/>
                <w:sz w:val="20"/>
                <w:szCs w:val="20"/>
              </w:rPr>
              <w:t xml:space="preserve">Guowang GW-2 (half)</w:t>
            </w:r>
          </w:p>
        </w:tc>
        <w:tc>
          <w:tcPr>
            <w:tcW w:type="dxa" w:w="1700"/>
          </w:tcPr>
          <w:p>
            <w:r>
              <w:rPr>
                <w:b w:val="false"/>
                <w:bCs w:val="false"/>
                <w:color w:val="000000"/>
                <w:sz w:val="20"/>
                <w:szCs w:val="20"/>
              </w:rPr>
              <w:t xml:space="preserve">1,145 km / 86.5°</w:t>
            </w:r>
          </w:p>
        </w:tc>
        <w:tc>
          <w:tcPr>
            <w:tcW w:type="dxa" w:w="1500"/>
          </w:tcPr>
          <w:p>
            <w:r>
              <w:rPr>
                <w:b w:val="false"/>
                <w:bCs w:val="false"/>
                <w:color w:val="000000"/>
                <w:sz w:val="20"/>
                <w:szCs w:val="20"/>
              </w:rPr>
              <w:t xml:space="preserve">3,456</w:t>
            </w:r>
          </w:p>
        </w:tc>
        <w:tc>
          <w:tcPr>
            <w:tcW w:type="dxa" w:w="2150"/>
          </w:tcPr>
          <w:p>
            <w:r>
              <w:rPr>
                <w:b w:val="false"/>
                <w:bCs w:val="false"/>
                <w:color w:val="000000"/>
                <w:sz w:val="20"/>
                <w:szCs w:val="20"/>
              </w:rPr>
              <w:t xml:space="preserve">2.26 × 10⁻⁴</w:t>
            </w:r>
          </w:p>
        </w:tc>
        <w:tc>
          <w:tcPr>
            <w:tcW w:type="dxa" w:w="1700"/>
          </w:tcPr>
          <w:p>
            <w:r>
              <w:rPr>
                <w:b w:val="false"/>
                <w:bCs w:val="false"/>
                <w:color w:val="000000"/>
                <w:sz w:val="20"/>
                <w:szCs w:val="20"/>
              </w:rPr>
              <w:t xml:space="preserve">0.78</w:t>
            </w:r>
          </w:p>
        </w:tc>
      </w:tr>
      <w:tr>
        <w:tc>
          <w:tcPr>
            <w:tcW w:type="dxa" w:w="2300"/>
          </w:tcPr>
          <w:p>
            <w:r>
              <w:rPr>
                <w:b w:val="false"/>
                <w:bCs w:val="false"/>
                <w:color w:val="000000"/>
                <w:sz w:val="20"/>
                <w:szCs w:val="20"/>
              </w:rPr>
              <w:t xml:space="preserve">Qianfan</w:t>
            </w:r>
          </w:p>
        </w:tc>
        <w:tc>
          <w:tcPr>
            <w:tcW w:type="dxa" w:w="1700"/>
          </w:tcPr>
          <w:p>
            <w:r>
              <w:rPr>
                <w:b w:val="false"/>
                <w:bCs w:val="false"/>
                <w:color w:val="000000"/>
                <w:sz w:val="20"/>
                <w:szCs w:val="20"/>
              </w:rPr>
              <w:t xml:space="preserve">1,160 km / 89°</w:t>
            </w:r>
          </w:p>
        </w:tc>
        <w:tc>
          <w:tcPr>
            <w:tcW w:type="dxa" w:w="1500"/>
          </w:tcPr>
          <w:p>
            <w:r>
              <w:rPr>
                <w:b w:val="false"/>
                <w:bCs w:val="false"/>
                <w:color w:val="000000"/>
                <w:sz w:val="20"/>
                <w:szCs w:val="20"/>
              </w:rPr>
              <w:t xml:space="preserve">~15,000</w:t>
            </w:r>
          </w:p>
        </w:tc>
        <w:tc>
          <w:tcPr>
            <w:tcW w:type="dxa" w:w="2150"/>
          </w:tcPr>
          <w:p>
            <w:r>
              <w:rPr>
                <w:b w:val="false"/>
                <w:bCs w:val="false"/>
                <w:color w:val="000000"/>
                <w:sz w:val="20"/>
                <w:szCs w:val="20"/>
              </w:rPr>
              <w:t xml:space="preserve">2.06 × 10⁻⁴</w:t>
            </w:r>
          </w:p>
        </w:tc>
        <w:tc>
          <w:tcPr>
            <w:tcW w:type="dxa" w:w="1700"/>
          </w:tcPr>
          <w:p>
            <w:r>
              <w:rPr>
                <w:b w:val="false"/>
                <w:bCs w:val="false"/>
                <w:color w:val="000000"/>
                <w:sz w:val="20"/>
                <w:szCs w:val="20"/>
              </w:rPr>
              <w:t xml:space="preserve">3.09</w:t>
            </w:r>
          </w:p>
        </w:tc>
      </w:tr>
      <w:tr>
        <w:tc>
          <w:tcPr>
            <w:tcW w:type="dxa" w:w="2300"/>
          </w:tcPr>
          <w:p>
            <w:r>
              <w:rPr>
                <w:b w:val="false"/>
                <w:bCs w:val="false"/>
                <w:color w:val="000000"/>
                <w:sz w:val="20"/>
                <w:szCs w:val="20"/>
              </w:rPr>
              <w:t xml:space="preserve">Telesat Lightspeed</w:t>
            </w:r>
          </w:p>
        </w:tc>
        <w:tc>
          <w:tcPr>
            <w:tcW w:type="dxa" w:w="1700"/>
          </w:tcPr>
          <w:p>
            <w:r>
              <w:rPr>
                <w:b w:val="false"/>
                <w:bCs w:val="false"/>
                <w:color w:val="000000"/>
                <w:sz w:val="20"/>
                <w:szCs w:val="20"/>
              </w:rPr>
              <w:t xml:space="preserve">1,015 / 1,325 km</w:t>
            </w:r>
          </w:p>
        </w:tc>
        <w:tc>
          <w:tcPr>
            <w:tcW w:type="dxa" w:w="1500"/>
          </w:tcPr>
          <w:p>
            <w:r>
              <w:rPr>
                <w:b w:val="false"/>
                <w:bCs w:val="false"/>
                <w:color w:val="000000"/>
                <w:sz w:val="20"/>
                <w:szCs w:val="20"/>
              </w:rPr>
              <w:t xml:space="preserve">198</w:t>
            </w:r>
          </w:p>
        </w:tc>
        <w:tc>
          <w:tcPr>
            <w:tcW w:type="dxa" w:w="2150"/>
          </w:tcPr>
          <w:p>
            <w:r>
              <w:rPr>
                <w:b w:val="false"/>
                <w:bCs w:val="false"/>
                <w:color w:val="000000"/>
                <w:sz w:val="20"/>
                <w:szCs w:val="20"/>
              </w:rPr>
              <w:t xml:space="preserve">1.3–1.8 × 10⁻⁴</w:t>
            </w:r>
          </w:p>
        </w:tc>
        <w:tc>
          <w:tcPr>
            <w:tcW w:type="dxa" w:w="1700"/>
          </w:tcPr>
          <w:p>
            <w:r>
              <w:rPr>
                <w:b w:val="false"/>
                <w:bCs w:val="false"/>
                <w:color w:val="000000"/>
                <w:sz w:val="20"/>
                <w:szCs w:val="20"/>
              </w:rPr>
              <w:t xml:space="preserve">0.03</w:t>
            </w:r>
          </w:p>
        </w:tc>
      </w:tr>
      <w:tr>
        <w:tc>
          <w:tcPr>
            <w:tcW w:type="dxa" w:w="2300"/>
          </w:tcPr>
          <w:p>
            <w:r>
              <w:rPr>
                <w:b w:val="false"/>
                <w:bCs w:val="false"/>
                <w:color w:val="000000"/>
                <w:sz w:val="20"/>
                <w:szCs w:val="20"/>
              </w:rPr>
              <w:t xml:space="preserve">Total</w:t>
            </w:r>
          </w:p>
        </w:tc>
        <w:tc>
          <w:tcPr>
            <w:tcW w:type="dxa" w:w="1700"/>
          </w:tcPr>
          <w:p>
            <w:r>
              <w:rPr>
                <w:b w:val="false"/>
                <w:bCs w:val="false"/>
                <w:color w:val="000000"/>
                <w:sz w:val="20"/>
                <w:szCs w:val="20"/>
              </w:rPr>
              <w:t xml:space="preserve"/>
            </w:r>
          </w:p>
        </w:tc>
        <w:tc>
          <w:tcPr>
            <w:tcW w:type="dxa" w:w="1500"/>
          </w:tcPr>
          <w:p>
            <w:r>
              <w:rPr>
                <w:b w:val="false"/>
                <w:bCs w:val="false"/>
                <w:color w:val="000000"/>
                <w:sz w:val="20"/>
                <w:szCs w:val="20"/>
              </w:rPr>
              <w:t xml:space="preserve">~28,500</w:t>
            </w:r>
          </w:p>
        </w:tc>
        <w:tc>
          <w:tcPr>
            <w:tcW w:type="dxa" w:w="2150"/>
          </w:tcPr>
          <w:p>
            <w:r>
              <w:rPr>
                <w:b w:val="false"/>
                <w:bCs w:val="false"/>
                <w:color w:val="000000"/>
                <w:sz w:val="20"/>
                <w:szCs w:val="20"/>
              </w:rPr>
              <w:t xml:space="preserve"/>
            </w:r>
          </w:p>
        </w:tc>
        <w:tc>
          <w:tcPr>
            <w:tcW w:type="dxa" w:w="1700"/>
          </w:tcPr>
          <w:p>
            <w:r>
              <w:rPr>
                <w:b w:val="false"/>
                <w:bCs w:val="false"/>
                <w:color w:val="000000"/>
                <w:sz w:val="20"/>
                <w:szCs w:val="20"/>
              </w:rPr>
              <w:t xml:space="preserve">5.87 ± 0.08</w:t>
            </w:r>
          </w:p>
        </w:tc>
      </w:tr>
      <w:tr>
        <w:tc>
          <w:tcPr>
            <w:tcW w:type="dxa" w:w="2300"/>
          </w:tcPr>
          <w:p>
            <w:r>
              <w:rPr>
                <w:b w:val="false"/>
                <w:bCs w:val="false"/>
                <w:color w:val="000000"/>
                <w:sz w:val="20"/>
                <w:szCs w:val="20"/>
              </w:rPr>
              <w:t xml:space="preserve">Borlaff et al. (2025)</w:t>
            </w:r>
          </w:p>
        </w:tc>
        <w:tc>
          <w:tcPr>
            <w:tcW w:type="dxa" w:w="1700"/>
          </w:tcPr>
          <w:p>
            <w:r>
              <w:rPr>
                <w:b w:val="false"/>
                <w:bCs w:val="false"/>
                <w:color w:val="000000"/>
                <w:sz w:val="20"/>
                <w:szCs w:val="20"/>
              </w:rPr>
              <w:t xml:space="preserve"/>
            </w:r>
          </w:p>
        </w:tc>
        <w:tc>
          <w:tcPr>
            <w:tcW w:type="dxa" w:w="1500"/>
          </w:tcPr>
          <w:p>
            <w:r>
              <w:rPr>
                <w:b w:val="false"/>
                <w:bCs w:val="false"/>
                <w:color w:val="000000"/>
                <w:sz w:val="20"/>
                <w:szCs w:val="20"/>
              </w:rPr>
              <w:t xml:space="preserve">~560,000 (all altitudes)</w:t>
            </w:r>
          </w:p>
        </w:tc>
        <w:tc>
          <w:tcPr>
            <w:tcW w:type="dxa" w:w="2150"/>
          </w:tcPr>
          <w:p>
            <w:r>
              <w:rPr>
                <w:b w:val="false"/>
                <w:bCs w:val="false"/>
                <w:color w:val="000000"/>
                <w:sz w:val="20"/>
                <w:szCs w:val="20"/>
              </w:rPr>
              <w:t xml:space="preserve"/>
            </w:r>
          </w:p>
        </w:tc>
        <w:tc>
          <w:tcPr>
            <w:tcW w:type="dxa" w:w="1700"/>
          </w:tcPr>
          <w:p>
            <w:r>
              <w:rPr>
                <w:b w:val="false"/>
                <w:bCs w:val="false"/>
                <w:color w:val="000000"/>
                <w:sz w:val="20"/>
                <w:szCs w:val="20"/>
              </w:rPr>
              <w:t xml:space="preserve">5.64 (+0.28/−0.27)</w:t>
            </w:r>
          </w:p>
        </w:tc>
      </w:tr>
    </w:tbl>
    <w:p>
      <w:pPr>
        <w:spacing w:after="160"/>
      </w:pPr>
      <w:r>
        <w:rPr>
          <w:sz w:val="21"/>
          <w:szCs w:val="21"/>
        </w:rPr>
        <w:t xml:space="preserve">The two random seeds give 5.84 and 5.91; ±0.08 is the statistical error. The prediction is 1.04× the published value and lies inside its uncertainty. This agreement should be read as consistency, not as a precise confirmation, because the model's systematic uncertainties are larger than 4%:</w:t>
      </w:r>
    </w:p>
    <w:p>
      <w:pPr>
        <w:pStyle w:val="ListParagraph"/>
        <w:numPr>
          <w:ilvl w:val="0"/>
          <w:numId w:val="1"/>
        </w:numPr>
        <w:spacing w:after="80"/>
        <w:rPr>
          <w:sz w:val="21"/>
          <w:szCs w:val="21"/>
        </w:rPr>
      </w:pPr>
      <w:r>
        <w:t xml:space="preserve">Qianfan dominates (3.1 of 5.9). Its ~15,000 figure is a filing; the committed near-term phase is 1,296 satellites. With only that phase the total would be 3.1 trails per exposure.</w:t>
      </w:r>
    </w:p>
    <w:p>
      <w:pPr>
        <w:pStyle w:val="ListParagraph"/>
        <w:numPr>
          <w:ilvl w:val="0"/>
          <w:numId w:val="1"/>
        </w:numPr>
        <w:spacing w:after="80"/>
        <w:rPr>
          <w:sz w:val="21"/>
          <w:szCs w:val="21"/>
        </w:rPr>
      </w:pPr>
      <w:r>
        <w:t xml:space="preserve">The real-orbit validation (§7.6) tests the idealised-shell approach to about ±35% (68% interval), for one OneWeb satellite.</w:t>
      </w:r>
    </w:p>
    <w:p>
      <w:pPr>
        <w:pStyle w:val="ListParagraph"/>
        <w:numPr>
          <w:ilvl w:val="0"/>
          <w:numId w:val="1"/>
        </w:numPr>
        <w:spacing w:after="80"/>
        <w:rPr>
          <w:sz w:val="21"/>
          <w:szCs w:val="21"/>
        </w:rPr>
      </w:pPr>
      <w:r>
        <w:t xml:space="preserve">Guowang's inclination split, Qianfan's exact altitude and inclination, and whether Borlaff et al.'s registry contains further high-altitude constellations are not known precisely; their constellation table could not be read as data for this work.</w:t>
      </w:r>
    </w:p>
    <w:p>
      <w:pPr>
        <w:pStyle w:val="ListParagraph"/>
        <w:numPr>
          <w:ilvl w:val="0"/>
          <w:numId w:val="1"/>
        </w:numPr>
        <w:spacing w:after="80"/>
        <w:rPr>
          <w:sz w:val="21"/>
          <w:szCs w:val="21"/>
        </w:rPr>
      </w:pPr>
      <w:r>
        <w:t xml:space="preserve">Roll matters: with the field fixed in inertial space instead of randomly rolled, per-satellite rates were 8–28% lower depending on the shell. SPHEREx's real roll follows its scan strategy, which is not modelled.</w:t>
      </w:r>
    </w:p>
    <w:p>
      <w:pPr>
        <w:pStyle w:val="Heading2"/>
        <w:spacing w:after="120" w:before="240"/>
      </w:pPr>
      <w:r>
        <w:t xml:space="preserve">7.5 The population as of September 2026</w:t>
      </w:r>
    </w:p>
    <w:p>
      <w:pPr>
        <w:spacing w:after="160"/>
      </w:pPr>
      <w:r>
        <w:rPr>
          <w:sz w:val="21"/>
          <w:szCs w:val="21"/>
        </w:rPr>
        <w:t xml:space="preserve">As of September 2026, three constellations have satellites above SPHEREx: OneWeb (654), Guowang GW-2 (186) and Qianfan (~248) (KeepTrack, Orbital Radar, Aug–Sep 2026; Guowang split evenly between its two inclinations). Together they give about 0.24 trails per exposure, so roughly one SPHEREx exposure in four carries a trail, about two thirds of them from OneWeb. The ~9,400 Starlink and ~200 Amazon Leo satellites contribute nothing under SPHEREx's survey geometry. [17_summarise_results.py]</w:t>
      </w:r>
    </w:p>
    <w:p>
      <w:pPr>
        <w:pStyle w:val="Heading2"/>
        <w:spacing w:after="120" w:before="240"/>
      </w:pPr>
      <w:r>
        <w:t xml:space="preserve">7.6 Real-orbit validation</w:t>
      </w:r>
    </w:p>
    <w:p>
      <w:pPr>
        <w:spacing w:after="160"/>
      </w:pPr>
      <w:r>
        <w:rPr>
          <w:sz w:val="21"/>
          <w:szCs w:val="21"/>
        </w:rPr>
        <w:t xml:space="preserve">The real OneWeb orbit produced 1,289 crossings in 5.53 million valid exposure-pointings over the year, a per-satellite probability of 2.33 × 10⁻⁴, against 2.31 × 10⁻⁴ for the idealised shell on the same dates: real/model = 1.01, with a 68% bootstrap interval of 0.62–1.37. The rate varies strongly from window to window (0.8 to 11.7 per 10⁴ exposures) as the relative orbital-plane geometry rotates; a single November window contributes about 40% of all crossings, which is why the interval is wide. The idealised-shell model is therefore validated to roughly ±35%, not better.</w:t>
      </w:r>
    </w:p>
    <w:p>
      <w:pPr>
        <w:spacing w:after="60" w:before="120"/>
        <w:jc w:val="center"/>
      </w:pPr>
      <w:r>
        <w:drawing>
          <wp:inline distT="0" distB="0" distL="0" distR="0">
            <wp:extent cx="44767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743075"/>
                    </a:xfrm>
                    <a:prstGeom prst="rect">
                      <a:avLst/>
                    </a:prstGeom>
                  </pic:spPr>
                </pic:pic>
              </a:graphicData>
            </a:graphic>
          </wp:inline>
        </w:drawing>
      </w:r>
    </w:p>
    <w:p>
      <w:pPr>
        <w:spacing w:after="240"/>
        <w:jc w:val="center"/>
      </w:pPr>
      <w:r>
        <w:rPr>
          <w:i/>
          <w:iCs/>
          <w:sz w:val="18"/>
          <w:szCs w:val="18"/>
        </w:rPr>
        <w:t xml:space="preserve">Figure 7.3. Left: range at closest approach for the 1,289 observable real OneWeb crossings. Right: crossing rate in each 30-day window of the one-year real-orbit comparison, with the year means of the real orbit (solid) and the idealised shell (dashed).</w:t>
      </w:r>
    </w:p>
    <w:p>
      <w:pPr>
        <w:pStyle w:val="Heading2"/>
        <w:spacing w:after="120" w:before="240"/>
      </w:pPr>
      <w:r>
        <w:t xml:space="preserve">7.7 What an observable crossing looks like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c>
          <w:tcPr>
            <w:tcW w:type="dxa" w:w="4400"/>
            <w:shd w:fill="2C5F8A" w:val="clear"/>
          </w:tcPr>
          <w:p>
            <w:r>
              <w:rPr>
                <w:b/>
                <w:bCs/>
                <w:color w:val="FFFFFF"/>
                <w:sz w:val="20"/>
                <w:szCs w:val="20"/>
              </w:rPr>
              <w:t xml:space="preserve">Quantity (1,289 observable crossings)</w:t>
            </w:r>
          </w:p>
        </w:tc>
        <w:tc>
          <w:tcPr>
            <w:tcW w:type="dxa" w:w="4950"/>
            <w:shd w:fill="2C5F8A" w:val="clear"/>
          </w:tcPr>
          <w:p>
            <w:r>
              <w:rPr>
                <w:b/>
                <w:bCs/>
                <w:color w:val="FFFFFF"/>
                <w:sz w:val="20"/>
                <w:szCs w:val="20"/>
              </w:rPr>
              <w:t xml:space="preserve">Value</w:t>
            </w:r>
          </w:p>
        </w:tc>
      </w:tr>
      <w:tr>
        <w:tc>
          <w:tcPr>
            <w:tcW w:type="dxa" w:w="4400"/>
          </w:tcPr>
          <w:p>
            <w:r>
              <w:rPr>
                <w:b w:val="false"/>
                <w:bCs w:val="false"/>
                <w:color w:val="000000"/>
                <w:sz w:val="20"/>
                <w:szCs w:val="20"/>
              </w:rPr>
              <w:t xml:space="preserve">Range at closest approach</w:t>
            </w:r>
          </w:p>
        </w:tc>
        <w:tc>
          <w:tcPr>
            <w:tcW w:type="dxa" w:w="4950"/>
          </w:tcPr>
          <w:p>
            <w:r>
              <w:rPr>
                <w:b w:val="false"/>
                <w:bCs w:val="false"/>
                <w:color w:val="000000"/>
                <w:sz w:val="20"/>
                <w:szCs w:val="20"/>
              </w:rPr>
              <w:t xml:space="preserve">median 640 km (5–95%: 578–704 km)</w:t>
            </w:r>
          </w:p>
        </w:tc>
      </w:tr>
      <w:tr>
        <w:tc>
          <w:tcPr>
            <w:tcW w:type="dxa" w:w="4400"/>
          </w:tcPr>
          <w:p>
            <w:r>
              <w:rPr>
                <w:b w:val="false"/>
                <w:bCs w:val="false"/>
                <w:color w:val="000000"/>
                <w:sz w:val="20"/>
                <w:szCs w:val="20"/>
              </w:rPr>
              <w:t xml:space="preserve">Apparent angular rate</w:t>
            </w:r>
          </w:p>
        </w:tc>
        <w:tc>
          <w:tcPr>
            <w:tcW w:type="dxa" w:w="4950"/>
          </w:tcPr>
          <w:p>
            <w:r>
              <w:rPr>
                <w:b w:val="false"/>
                <w:bCs w:val="false"/>
                <w:color w:val="000000"/>
                <w:sz w:val="20"/>
                <w:szCs w:val="20"/>
              </w:rPr>
              <w:t xml:space="preserve">median 1.19°/s</w:t>
            </w:r>
          </w:p>
        </w:tc>
      </w:tr>
      <w:tr>
        <w:tc>
          <w:tcPr>
            <w:tcW w:type="dxa" w:w="4400"/>
          </w:tcPr>
          <w:p>
            <w:r>
              <w:rPr>
                <w:b w:val="false"/>
                <w:bCs w:val="false"/>
                <w:color w:val="000000"/>
                <w:sz w:val="20"/>
                <w:szCs w:val="20"/>
              </w:rPr>
              <w:t xml:space="preserve">Time inside the field</w:t>
            </w:r>
          </w:p>
        </w:tc>
        <w:tc>
          <w:tcPr>
            <w:tcW w:type="dxa" w:w="4950"/>
          </w:tcPr>
          <w:p>
            <w:r>
              <w:rPr>
                <w:b w:val="false"/>
                <w:bCs w:val="false"/>
                <w:color w:val="000000"/>
                <w:sz w:val="20"/>
                <w:szCs w:val="20"/>
              </w:rPr>
              <w:t xml:space="preserve">median 3.4 s (5–95%: 0.6–13.4 s) of a 112.5 s exposure</w:t>
            </w:r>
          </w:p>
        </w:tc>
      </w:tr>
      <w:tr>
        <w:tc>
          <w:tcPr>
            <w:tcW w:type="dxa" w:w="4400"/>
          </w:tcPr>
          <w:p>
            <w:r>
              <w:rPr>
                <w:b w:val="false"/>
                <w:bCs w:val="false"/>
                <w:color w:val="000000"/>
                <w:sz w:val="20"/>
                <w:szCs w:val="20"/>
              </w:rPr>
              <w:t xml:space="preserve">Sun–satellite–SPHEREx phase angle</w:t>
            </w:r>
          </w:p>
        </w:tc>
        <w:tc>
          <w:tcPr>
            <w:tcW w:type="dxa" w:w="4950"/>
          </w:tcPr>
          <w:p>
            <w:r>
              <w:rPr>
                <w:b w:val="false"/>
                <w:bCs w:val="false"/>
                <w:color w:val="000000"/>
                <w:sz w:val="20"/>
                <w:szCs w:val="20"/>
              </w:rPr>
              <w:t xml:space="preserve">median 80° (5–95%: 48–90°)</w:t>
            </w:r>
          </w:p>
        </w:tc>
      </w:tr>
    </w:tbl>
    <w:p>
      <w:pPr>
        <w:spacing w:after="160"/>
      </w:pPr>
      <w:r>
        <w:rPr>
          <w:sz w:val="21"/>
          <w:szCs w:val="21"/>
        </w:rPr>
        <w:t xml:space="preserve">Because only higher satellites are visible and SPHEREx looks nearly straight up, crossings happen close to the minimum possible range (1,200 − 650 ≈ 550 km). They are close and fast, and because SPHEREx always points at least 91° from the Sun, the satellites are seen at phase angles of 90° or less (partly to fully lit faces).</w:t>
      </w:r>
    </w:p>
    <w:p>
      <w:pPr>
        <w:pStyle w:val="Heading2"/>
        <w:spacing w:after="120" w:before="240"/>
      </w:pPr>
      <w:r>
        <w:t xml:space="preserve">7.8 Thermal-infrared versus reflected light</w:t>
      </w:r>
    </w:p>
    <w:p>
      <w:pPr>
        <w:spacing w:after="160"/>
      </w:pPr>
      <w:r>
        <w:rPr>
          <w:sz w:val="21"/>
          <w:szCs w:val="21"/>
        </w:rPr>
        <w:t xml:space="preserve">The wavelength beyond which a satellite's own thermal emission outshines reflected sunlight lies between 3.4 and 4.1 μm, depending on the surface model: 3.81 μm for a face-on flat plate at its 316 K equilibrium temperature, 3.39 μm (median over events) for Lambertian-sphere reflection at the observed phase angles with the plate temperature, and 4.12 μm for an isothermal sphere at 266 K. In every case SPHEREx's longest-wavelength band (4.41–5.01 μm) is thermally dominated, a regime the original reflectance model (§5) could not describe and where surface darkening does not help.</w:t>
      </w:r>
    </w:p>
    <w:p>
      <w:pPr>
        <w:spacing w:after="60" w:before="120"/>
        <w:jc w:val="center"/>
      </w:pPr>
      <w:r>
        <w:drawing>
          <wp:inline distT="0" distB="0" distL="0" distR="0">
            <wp:extent cx="4191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771775"/>
                    </a:xfrm>
                    <a:prstGeom prst="rect">
                      <a:avLst/>
                    </a:prstGeom>
                  </pic:spPr>
                </pic:pic>
              </a:graphicData>
            </a:graphic>
          </wp:inline>
        </w:drawing>
      </w:r>
    </w:p>
    <w:p>
      <w:pPr>
        <w:spacing w:after="240"/>
        <w:jc w:val="center"/>
      </w:pPr>
      <w:r>
        <w:rPr>
          <w:i/>
          <w:iCs/>
          <w:sz w:val="18"/>
          <w:szCs w:val="18"/>
        </w:rPr>
        <w:t xml:space="preserve">Figure 7.4. Thermal and reflected flux across SPHEREx's wavelength range for a OneWeb-size satellite at the median observable range, for the surface models in §6.5. The shaded band marks the range of crossover wavelengths.</w:t>
      </w:r>
    </w:p>
    <w:p>
      <w:pPr>
        <w:pStyle w:val="Heading2"/>
        <w:spacing w:after="120" w:before="240"/>
      </w:pPr>
      <w:r>
        <w:t xml:space="preserve">7.9 TLE error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50"/>
        <w:gridCol w:w="2600"/>
      </w:tblGrid>
      <w:tr>
        <w:tc>
          <w:tcPr>
            <w:tcW w:type="dxa" w:w="2200"/>
            <w:shd w:fill="2C5F8A" w:val="clear"/>
          </w:tcPr>
          <w:p>
            <w:r>
              <w:rPr>
                <w:b/>
                <w:bCs/>
                <w:color w:val="FFFFFF"/>
                <w:sz w:val="20"/>
                <w:szCs w:val="20"/>
              </w:rPr>
              <w:t xml:space="preserve">TLE age (per object)</w:t>
            </w:r>
          </w:p>
        </w:tc>
        <w:tc>
          <w:tcPr>
            <w:tcW w:type="dxa" w:w="2000"/>
            <w:shd w:fill="2C5F8A" w:val="clear"/>
          </w:tcPr>
          <w:p>
            <w:r>
              <w:rPr>
                <w:b/>
                <w:bCs/>
                <w:color w:val="FFFFFF"/>
                <w:sz w:val="20"/>
                <w:szCs w:val="20"/>
              </w:rPr>
              <w:t xml:space="preserve">1-sigma position</w:t>
            </w:r>
          </w:p>
        </w:tc>
        <w:tc>
          <w:tcPr>
            <w:tcW w:type="dxa" w:w="2550"/>
            <w:shd w:fill="2C5F8A" w:val="clear"/>
          </w:tcPr>
          <w:p>
            <w:r>
              <w:rPr>
                <w:b/>
                <w:bCs/>
                <w:color w:val="FFFFFF"/>
                <w:sz w:val="20"/>
                <w:szCs w:val="20"/>
              </w:rPr>
              <w:t xml:space="preserve">Median range uncertainty</w:t>
            </w:r>
          </w:p>
        </w:tc>
        <w:tc>
          <w:tcPr>
            <w:tcW w:type="dxa" w:w="2600"/>
            <w:shd w:fill="2C5F8A" w:val="clear"/>
          </w:tcPr>
          <w:p>
            <w:r>
              <w:rPr>
                <w:b/>
                <w:bCs/>
                <w:color w:val="FFFFFF"/>
                <w:sz w:val="20"/>
                <w:szCs w:val="20"/>
              </w:rPr>
              <w:t xml:space="preserve">Median magnitude uncertainty</w:t>
            </w:r>
          </w:p>
        </w:tc>
      </w:tr>
      <w:tr>
        <w:tc>
          <w:tcPr>
            <w:tcW w:type="dxa" w:w="2200"/>
          </w:tcPr>
          <w:p>
            <w:r>
              <w:rPr>
                <w:b w:val="false"/>
                <w:bCs w:val="false"/>
                <w:color w:val="000000"/>
                <w:sz w:val="20"/>
                <w:szCs w:val="20"/>
              </w:rPr>
              <w:t xml:space="preserve">1 day</w:t>
            </w:r>
          </w:p>
        </w:tc>
        <w:tc>
          <w:tcPr>
            <w:tcW w:type="dxa" w:w="2000"/>
          </w:tcPr>
          <w:p>
            <w:r>
              <w:rPr>
                <w:b w:val="false"/>
                <w:bCs w:val="false"/>
                <w:color w:val="000000"/>
                <w:sz w:val="20"/>
                <w:szCs w:val="20"/>
              </w:rPr>
              <w:t xml:space="preserve">3 km</w:t>
            </w:r>
          </w:p>
        </w:tc>
        <w:tc>
          <w:tcPr>
            <w:tcW w:type="dxa" w:w="2550"/>
          </w:tcPr>
          <w:p>
            <w:r>
              <w:rPr>
                <w:b w:val="false"/>
                <w:bCs w:val="false"/>
                <w:color w:val="000000"/>
                <w:sz w:val="20"/>
                <w:szCs w:val="20"/>
              </w:rPr>
              <w:t xml:space="preserve">0.66%</w:t>
            </w:r>
          </w:p>
        </w:tc>
        <w:tc>
          <w:tcPr>
            <w:tcW w:type="dxa" w:w="2600"/>
          </w:tcPr>
          <w:p>
            <w:r>
              <w:rPr>
                <w:b w:val="false"/>
                <w:bCs w:val="false"/>
                <w:color w:val="000000"/>
                <w:sz w:val="20"/>
                <w:szCs w:val="20"/>
              </w:rPr>
              <w:t xml:space="preserve">0.014 mag</w:t>
            </w:r>
          </w:p>
        </w:tc>
      </w:tr>
      <w:tr>
        <w:tc>
          <w:tcPr>
            <w:tcW w:type="dxa" w:w="2200"/>
          </w:tcPr>
          <w:p>
            <w:r>
              <w:rPr>
                <w:b w:val="false"/>
                <w:bCs w:val="false"/>
                <w:color w:val="000000"/>
                <w:sz w:val="20"/>
                <w:szCs w:val="20"/>
              </w:rPr>
              <w:t xml:space="preserve">3 days</w:t>
            </w:r>
          </w:p>
        </w:tc>
        <w:tc>
          <w:tcPr>
            <w:tcW w:type="dxa" w:w="2000"/>
          </w:tcPr>
          <w:p>
            <w:r>
              <w:rPr>
                <w:b w:val="false"/>
                <w:bCs w:val="false"/>
                <w:color w:val="000000"/>
                <w:sz w:val="20"/>
                <w:szCs w:val="20"/>
              </w:rPr>
              <w:t xml:space="preserve">7 km</w:t>
            </w:r>
          </w:p>
        </w:tc>
        <w:tc>
          <w:tcPr>
            <w:tcW w:type="dxa" w:w="2550"/>
          </w:tcPr>
          <w:p>
            <w:r>
              <w:rPr>
                <w:b w:val="false"/>
                <w:bCs w:val="false"/>
                <w:color w:val="000000"/>
                <w:sz w:val="20"/>
                <w:szCs w:val="20"/>
              </w:rPr>
              <w:t xml:space="preserve">1.55%</w:t>
            </w:r>
          </w:p>
        </w:tc>
        <w:tc>
          <w:tcPr>
            <w:tcW w:type="dxa" w:w="2600"/>
          </w:tcPr>
          <w:p>
            <w:r>
              <w:rPr>
                <w:b w:val="false"/>
                <w:bCs w:val="false"/>
                <w:color w:val="000000"/>
                <w:sz w:val="20"/>
                <w:szCs w:val="20"/>
              </w:rPr>
              <w:t xml:space="preserve">0.034 mag</w:t>
            </w:r>
          </w:p>
        </w:tc>
      </w:tr>
      <w:tr>
        <w:tc>
          <w:tcPr>
            <w:tcW w:type="dxa" w:w="2200"/>
          </w:tcPr>
          <w:p>
            <w:r>
              <w:rPr>
                <w:b w:val="false"/>
                <w:bCs w:val="false"/>
                <w:color w:val="000000"/>
                <w:sz w:val="20"/>
                <w:szCs w:val="20"/>
              </w:rPr>
              <w:t xml:space="preserve">7 days</w:t>
            </w:r>
          </w:p>
        </w:tc>
        <w:tc>
          <w:tcPr>
            <w:tcW w:type="dxa" w:w="2000"/>
          </w:tcPr>
          <w:p>
            <w:r>
              <w:rPr>
                <w:b w:val="false"/>
                <w:bCs w:val="false"/>
                <w:color w:val="000000"/>
                <w:sz w:val="20"/>
                <w:szCs w:val="20"/>
              </w:rPr>
              <w:t xml:space="preserve">15 km</w:t>
            </w:r>
          </w:p>
        </w:tc>
        <w:tc>
          <w:tcPr>
            <w:tcW w:type="dxa" w:w="2550"/>
          </w:tcPr>
          <w:p>
            <w:r>
              <w:rPr>
                <w:b w:val="false"/>
                <w:bCs w:val="false"/>
                <w:color w:val="000000"/>
                <w:sz w:val="20"/>
                <w:szCs w:val="20"/>
              </w:rPr>
              <w:t xml:space="preserve">3.32%</w:t>
            </w:r>
          </w:p>
        </w:tc>
        <w:tc>
          <w:tcPr>
            <w:tcW w:type="dxa" w:w="2600"/>
          </w:tcPr>
          <w:p>
            <w:r>
              <w:rPr>
                <w:b w:val="false"/>
                <w:bCs w:val="false"/>
                <w:color w:val="000000"/>
                <w:sz w:val="20"/>
                <w:szCs w:val="20"/>
              </w:rPr>
              <w:t xml:space="preserve">0.072 mag</w:t>
            </w:r>
          </w:p>
        </w:tc>
      </w:tr>
    </w:tbl>
    <w:p>
      <w:pPr>
        <w:spacing w:after="160"/>
      </w:pPr>
      <w:r>
        <w:rPr>
          <w:sz w:val="21"/>
          <w:szCs w:val="21"/>
        </w:rPr>
        <w:t xml:space="preserve">With TLEs refreshed every few days, as is operationally normal, predicted trail positions and brightnesses are good to a few percent and a few hundredths of a magnitude: enough to flag contaminated exposures, though not for sub-pixel trail masking. This budget describes operational prediction; it does not describe the months-old TLEs used as reference orbits in §6.4.</w:t>
      </w:r>
    </w:p>
    <w:p>
      <w:pPr>
        <w:pStyle w:val="Heading1"/>
        <w:spacing w:after="150" w:before="320"/>
      </w:pPr>
      <w:r>
        <w:t xml:space="preserve">8. Limitations</w:t>
      </w:r>
    </w:p>
    <w:p>
      <w:pPr>
        <w:pStyle w:val="ListParagraph"/>
        <w:numPr>
          <w:ilvl w:val="0"/>
          <w:numId w:val="1"/>
        </w:numPr>
        <w:spacing w:after="80"/>
        <w:rPr>
          <w:sz w:val="21"/>
          <w:szCs w:val="21"/>
        </w:rPr>
      </w:pPr>
      <w:r>
        <w:t xml:space="preserve">The full-build-out result depends most on how many high-altitude satellites are eventually launched, above all Qianfan (1,296 committed versus ~15,000 filed).</w:t>
      </w:r>
    </w:p>
    <w:p>
      <w:pPr>
        <w:pStyle w:val="ListParagraph"/>
        <w:numPr>
          <w:ilvl w:val="0"/>
          <w:numId w:val="1"/>
        </w:numPr>
        <w:spacing w:after="80"/>
        <w:rPr>
          <w:sz w:val="21"/>
          <w:szCs w:val="21"/>
        </w:rPr>
      </w:pPr>
      <w:r>
        <w:t xml:space="preserve">Constellations are idealised as uniformly random circular shells rather than real Walker plane structures; the real-orbit check covers one OneWeb satellite and validates the approach to about ±35%.</w:t>
      </w:r>
    </w:p>
    <w:p>
      <w:pPr>
        <w:pStyle w:val="ListParagraph"/>
        <w:numPr>
          <w:ilvl w:val="0"/>
          <w:numId w:val="1"/>
        </w:numPr>
        <w:spacing w:after="80"/>
        <w:rPr>
          <w:sz w:val="21"/>
          <w:szCs w:val="21"/>
        </w:rPr>
      </w:pPr>
      <w:r>
        <w:t xml:space="preserve">Pointings are drawn uniformly over the accessible sky with a random roll, not from SPHEREx's actual survey sequence and scan-driven roll.</w:t>
      </w:r>
    </w:p>
    <w:p>
      <w:pPr>
        <w:pStyle w:val="ListParagraph"/>
        <w:numPr>
          <w:ilvl w:val="0"/>
          <w:numId w:val="1"/>
        </w:numPr>
        <w:spacing w:after="80"/>
        <w:rPr>
          <w:sz w:val="21"/>
          <w:szCs w:val="21"/>
        </w:rPr>
      </w:pPr>
      <w:r>
        <w:t xml:space="preserve">Guowang's inclination split and Qianfan's altitude and inclination are approximations from secondary sources; in-orbit counts come from satellite-tracking websites.</w:t>
      </w:r>
    </w:p>
    <w:p>
      <w:pPr>
        <w:pStyle w:val="ListParagraph"/>
        <w:numPr>
          <w:ilvl w:val="0"/>
          <w:numId w:val="1"/>
        </w:numPr>
        <w:spacing w:after="80"/>
        <w:rPr>
          <w:sz w:val="21"/>
          <w:szCs w:val="21"/>
        </w:rPr>
      </w:pPr>
      <w:r>
        <w:t xml:space="preserve">Photometry uses simple surface models (flat plate or Lambertian sphere) with representative size and albedo; it ignores attitude, eclipse thermal history and material-specific properties, which is why the crossover is quoted as a range.</w:t>
      </w:r>
    </w:p>
    <w:p>
      <w:pPr>
        <w:pStyle w:val="Heading1"/>
        <w:spacing w:after="150" w:before="320"/>
      </w:pPr>
      <w:r>
        <w:t xml:space="preserve">9. Conclusions</w:t>
      </w:r>
    </w:p>
    <w:p>
      <w:pPr>
        <w:spacing w:after="160"/>
      </w:pPr>
      <w:r>
        <w:rPr>
          <w:sz w:val="21"/>
          <w:szCs w:val="21"/>
        </w:rPr>
        <w:t xml:space="preserve">SPHEREx's own survey rules are its best defence against megaconstellations. Because it only points within 35° of zenith, every satellite orbiting below it, including all of Starlink and Amazon Leo, is geometrically invisible. Its exposure is set by the smaller population of high-altitude constellations: about 0.24 trails per exposure as of September 2026 (one exposure in four), rising to 5.9 ± 0.1 if the filed high-altitude constellations are completed. That is consistent with the 5.64 published by Borlaff et al. (2025), with the caveat that the future number depends mainly on how much of Qianfan is actually built.</w:t>
      </w:r>
    </w:p>
    <w:p>
      <w:pPr>
        <w:spacing w:after="160"/>
      </w:pPr>
      <w:r>
        <w:rPr>
          <w:sz w:val="21"/>
          <w:szCs w:val="21"/>
        </w:rPr>
        <w:t xml:space="preserve">The crossings that do occur are near-overhead, fast and short (a few seconds in a 112.5 s exposure), and at the longest SPHEREx wavelengths they are dominated by the satellite's thermal emission, which darkening cannot suppress. The investigation also showed how sensitive such estimates are to modelling choices: unconstrained pointing inflated the prediction by more than an order of magnitude, and a fixed field orientation and single date lowered it by about a quarter, errors caught only by testing against the literature and by an independent code review.</w:t>
      </w:r>
    </w:p>
    <w:p>
      <w:pPr>
        <w:spacing w:after="160"/>
      </w:pPr>
      <w:r>
        <w:rPr>
          <w:sz w:val="21"/>
          <w:szCs w:val="21"/>
        </w:rPr>
        <w:t xml:space="preserve">Next steps: extend the real-orbit validation to many OneWeb, Guowang and Qianfan satellites across multiple planes; replace random pointings and roll with SPHEREx's published survey sequence; obtain the full constellation registry; and compare predicted crossings with trails identified in public SPHEREx images.</w:t>
      </w:r>
    </w:p>
    <w:p>
      <w:pPr>
        <w:pStyle w:val="Heading1"/>
        <w:spacing w:after="150" w:before="320"/>
      </w:pPr>
      <w:r>
        <w:t xml:space="preserve">References</w:t>
      </w:r>
    </w:p>
    <w:p>
      <w:pPr>
        <w:spacing w:after="160"/>
      </w:pPr>
      <w:r>
        <w:rPr>
          <w:sz w:val="20"/>
          <w:szCs w:val="20"/>
        </w:rPr>
        <w:t xml:space="preserve">Borlaff, A. S., Marcum, P., &amp; Howell, S. (2025). Satellite megaconstellations will threaten space-based astronomy. Nature. https://doi.org/10.1038/s41586-025-09759-5</w:t>
      </w:r>
    </w:p>
    <w:p>
      <w:pPr>
        <w:spacing w:after="160"/>
      </w:pPr>
      <w:r>
        <w:rPr>
          <w:sz w:val="20"/>
          <w:szCs w:val="20"/>
        </w:rPr>
        <w:t xml:space="preserve">Crill, B. P., et al. (2020). SPHEREx: NASA's near-infrared spectrophotometric all-sky survey. Proceedings of SPIE 11443.</w:t>
      </w:r>
    </w:p>
    <w:p>
      <w:pPr>
        <w:spacing w:after="160"/>
      </w:pPr>
      <w:r>
        <w:rPr>
          <w:sz w:val="20"/>
          <w:szCs w:val="20"/>
        </w:rPr>
        <w:t xml:space="preserve">Crill, B. P., et al. (2024). SPHEREx: NASA's near-infrared spectrophotometric all-sky survey. arXiv:2404.11017.</w:t>
      </w:r>
    </w:p>
    <w:p>
      <w:pPr>
        <w:spacing w:after="160"/>
      </w:pPr>
      <w:r>
        <w:rPr>
          <w:sz w:val="20"/>
          <w:szCs w:val="20"/>
        </w:rPr>
        <w:t xml:space="preserve">Gong, Y., et al. (2019). Cosmology from the Chinese Space Station Optical Survey (CSS-OS). The Astrophysical Journal, 883, 203.</w:t>
      </w:r>
    </w:p>
    <w:p>
      <w:pPr>
        <w:spacing w:after="160"/>
      </w:pPr>
      <w:r>
        <w:rPr>
          <w:sz w:val="20"/>
          <w:szCs w:val="20"/>
        </w:rPr>
        <w:t xml:space="preserve">Corral van Damme, C., et al. (2024). ARRAKIHS: ESA's new fast-implementation science mission. Proceedings of SPIE 13092.</w:t>
      </w:r>
    </w:p>
    <w:p>
      <w:pPr>
        <w:spacing w:after="160"/>
      </w:pPr>
      <w:r>
        <w:rPr>
          <w:sz w:val="20"/>
          <w:szCs w:val="20"/>
        </w:rPr>
        <w:t xml:space="preserve">Celestrak (T.S. Kelso). NORAD two-line element sets, retrieved September 2026. https://celestrak.org</w:t>
      </w:r>
    </w:p>
    <w:p>
      <w:pPr>
        <w:spacing w:after="160"/>
      </w:pPr>
      <w:r>
        <w:rPr>
          <w:sz w:val="20"/>
          <w:szCs w:val="20"/>
        </w:rPr>
        <w:t xml:space="preserve">python-sgp4 library documentation — cited SGP4/TLE accuracy (~1 km at epoch, 1–3 km/day growth).</w:t>
      </w:r>
    </w:p>
    <w:p>
      <w:pPr>
        <w:spacing w:after="160"/>
      </w:pPr>
      <w:r>
        <w:rPr>
          <w:sz w:val="20"/>
          <w:szCs w:val="20"/>
        </w:rPr>
        <w:t xml:space="preserve">Borlaff, A. S., Marcum, P., &amp; Howell, S. (2026). Author Correction: Satellite megaconstellations will threaten space-based astronomy. Nature 654, E14. https://doi.org/10.1038/s41586-026-10553-0 (corrects ARRAKIHS values only; SPHEREx values unchanged).</w:t>
      </w:r>
    </w:p>
    <w:p>
      <w:pPr>
        <w:spacing w:after="160"/>
      </w:pPr>
      <w:r>
        <w:rPr>
          <w:sz w:val="20"/>
          <w:szCs w:val="20"/>
        </w:rPr>
        <w:t xml:space="preserve">Guowang constellation shells (GW-2 ~1,145 km; GW-A59 ~590 km) and Qianfan planned altitude (~1,160 km): CircleID, “Chinese LEO Satellite Internet Update: Guowang, Qianfan, and Honghu-3”; Wikipedia, “Guowang” (accessed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c41dcd1fc475d5b07411cef57dedf2bd81890e.png"/><Relationship Id="rId8" Type="http://schemas.openxmlformats.org/officeDocument/2006/relationships/image" Target="media/935820e4580a74f2b0969fbff8c2ffc13152cba2.png"/><Relationship Id="rId9" Type="http://schemas.openxmlformats.org/officeDocument/2006/relationships/image" Target="media/87e887a09e3e495c149f4ae04995e4a8e3741806.png"/><Relationship Id="rId10" Type="http://schemas.openxmlformats.org/officeDocument/2006/relationships/image" Target="media/b5dec5bdb3d0758ef76dba462eac7d24312076a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2026-10-19T06:24:48.334Z</dcterms:created>
  <dcterms:modified xsi:type="dcterms:W3CDTF">2026-10-19T06:24:48.334Z</dcterms:modified>
</cp:coreProperties>
</file>

<file path=docProps/custom.xml><?xml version="1.0" encoding="utf-8"?>
<Properties xmlns="http://schemas.openxmlformats.org/officeDocument/2006/custom-properties" xmlns:vt="http://schemas.openxmlformats.org/officeDocument/2006/docPropsVTypes"/>
</file>