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Lunorsoft Platform Engineering Guidelines</w:t>
      </w:r>
    </w:p>
    <w:p>
      <w:r>
        <w:t>This document outlines the strict quality standards and architectural patterns expected for all Lunorsoft AI implementations.</w:t>
      </w:r>
    </w:p>
    <w:p>
      <w:pPr>
        <w:pStyle w:val="Heading2"/>
      </w:pPr>
      <w:r>
        <w:t>1. Grounded Knowledge Retrieval</w:t>
      </w:r>
    </w:p>
    <w:p>
      <w:r>
        <w:t>All generative responses must be strictly grounded on document context excerpts. Hallucinated responses or unverified claims will result in automated evaluation failure.</w:t>
      </w:r>
    </w:p>
    <w:p>
      <w:pPr>
        <w:pStyle w:val="Heading2"/>
      </w:pPr>
      <w:r>
        <w:t>2. Hybrid RRF Search Standard</w:t>
      </w:r>
    </w:p>
    <w:p>
      <w:r>
        <w:t>Engineering systems must combine dense vector similarity with sparse BM25 lexical ranking using Reciprocal Rank Fusion (k=60) to ensure high recall across both technical jargon and natural language queries.</w:t>
      </w:r>
    </w:p>
    <w:p>
      <w:pPr>
        <w:pStyle w:val="Heading2"/>
      </w:pPr>
      <w:r>
        <w:t>3. Fault-Tolerant Resilience</w:t>
      </w:r>
    </w:p>
    <w:p>
      <w:r>
        <w:t>The platform must never fail when external APIs hit rate limits or quota boundaries. Local extractive fallback mechanisms must provide graceful degradation.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