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auditoría crítica evalúa la solidez metodológica y documental de la propuesta anterior para garantizar que el TFM cumpla con los estándares de rigor de un tribunal universitario.</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Informe de Auditoría Crítica</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Referencias débiles o poco verificables:</w:t>
      </w:r>
      <w:r w:rsidDel="00000000" w:rsidR="00000000" w:rsidRPr="00000000">
        <w:rPr>
          <w:rFonts w:ascii="Google Sans" w:cs="Google Sans" w:eastAsia="Google Sans" w:hAnsi="Google Sans"/>
          <w:color w:val="1f1f1f"/>
          <w:rtl w:val="0"/>
        </w:rPr>
        <w:t xml:space="preserve"> Se detectó el uso del modelo all-MiniLM-L6-v2 como recomendación general. Sin embargo, este modelo está entrenado primordialmente en inglés. Para un corpus administrativo en español como el Fichero 03, el uso de este modelo sin especificar su variante multilingüe (paraphrase-multilingual-MiniLM-L12-v2) invalidaría los resultados por sesgo de idioma.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Lagunas en tesis/TFMs:</w:t>
      </w:r>
      <w:r w:rsidDel="00000000" w:rsidR="00000000" w:rsidRPr="00000000">
        <w:rPr>
          <w:rFonts w:ascii="Google Sans" w:cs="Google Sans" w:eastAsia="Google Sans" w:hAnsi="Google Sans"/>
          <w:color w:val="1f1f1f"/>
          <w:rtl w:val="0"/>
        </w:rPr>
        <w:t xml:space="preserve"> Existe una carencia de literatura específica sobre el "Fichero 03" aplicado a servicios sociales. La mayoría de los trabajos académicos en repositorios españoles (RUA, SEDICI) se centran en codificación médica (CIE-10) o análisis de sentimientos. El TFM debe explicitar que está adaptando arquitecturas de </w:t>
      </w:r>
      <w:r w:rsidDel="00000000" w:rsidR="00000000" w:rsidRPr="00000000">
        <w:rPr>
          <w:rFonts w:ascii="Google Sans" w:cs="Google Sans" w:eastAsia="Google Sans" w:hAnsi="Google Sans"/>
          <w:i w:val="1"/>
          <w:iCs w:val="1"/>
          <w:color w:val="1f1f1f"/>
          <w:rtl w:val="0"/>
        </w:rPr>
        <w:t xml:space="preserve">Product Matching</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Invoice Line Item</w:t>
      </w:r>
      <w:r w:rsidDel="00000000" w:rsidR="00000000" w:rsidRPr="00000000">
        <w:rPr>
          <w:rFonts w:ascii="Google Sans" w:cs="Google Sans" w:eastAsia="Google Sans" w:hAnsi="Google Sans"/>
          <w:color w:val="1f1f1f"/>
          <w:rtl w:val="0"/>
        </w:rPr>
        <w:t xml:space="preserve"> al dominio social.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Sesgos de dominio:</w:t>
      </w:r>
      <w:r w:rsidDel="00000000" w:rsidR="00000000" w:rsidRPr="00000000">
        <w:rPr>
          <w:rFonts w:ascii="Google Sans" w:cs="Google Sans" w:eastAsia="Google Sans" w:hAnsi="Google Sans"/>
          <w:color w:val="1f1f1f"/>
          <w:rtl w:val="0"/>
        </w:rPr>
        <w:t xml:space="preserve"> La propuesta anterior infravaloró la capacidad de </w:t>
      </w:r>
      <w:r w:rsidDel="00000000" w:rsidR="00000000" w:rsidRPr="00000000">
        <w:rPr>
          <w:rFonts w:ascii="Google Sans" w:cs="Google Sans" w:eastAsia="Google Sans" w:hAnsi="Google Sans"/>
          <w:b w:val="1"/>
          <w:bCs w:val="1"/>
          <w:color w:val="1f1f1f"/>
          <w:rtl w:val="0"/>
        </w:rPr>
        <w:t xml:space="preserve">fastText</w:t>
      </w:r>
      <w:r w:rsidDel="00000000" w:rsidR="00000000" w:rsidRPr="00000000">
        <w:rPr>
          <w:rFonts w:ascii="Google Sans" w:cs="Google Sans" w:eastAsia="Google Sans" w:hAnsi="Google Sans"/>
          <w:color w:val="1f1f1f"/>
          <w:rtl w:val="0"/>
        </w:rPr>
        <w:t xml:space="preserve"> para manejar abreviaturas extremas ("DET. LIQ. P/ ROPA"). La evidencia empírica muestra que los n-gramas de caracteres de fastText suelen superar a los Transformers en textos con ruido ortográfico severo y falta de estructura gramatical.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Afirmaciones con respaldo insuficiente:</w:t>
      </w:r>
      <w:r w:rsidDel="00000000" w:rsidR="00000000" w:rsidRPr="00000000">
        <w:rPr>
          <w:rFonts w:ascii="Google Sans" w:cs="Google Sans" w:eastAsia="Google Sans" w:hAnsi="Google Sans"/>
          <w:color w:val="1f1f1f"/>
          <w:rtl w:val="0"/>
        </w:rPr>
        <w:t xml:space="preserve"> La superioridad del Sistema 3 sobre el 2 es una </w:t>
      </w:r>
      <w:r w:rsidDel="00000000" w:rsidR="00000000" w:rsidRPr="00000000">
        <w:rPr>
          <w:rFonts w:ascii="Google Sans" w:cs="Google Sans" w:eastAsia="Google Sans" w:hAnsi="Google Sans"/>
          <w:b w:val="1"/>
          <w:bCs w:val="1"/>
          <w:color w:val="1f1f1f"/>
          <w:rtl w:val="0"/>
        </w:rPr>
        <w:t xml:space="preserve">extrapolación</w:t>
      </w:r>
      <w:r w:rsidDel="00000000" w:rsidR="00000000" w:rsidRPr="00000000">
        <w:rPr>
          <w:rFonts w:ascii="Google Sans" w:cs="Google Sans" w:eastAsia="Google Sans" w:hAnsi="Google Sans"/>
          <w:color w:val="1f1f1f"/>
          <w:rtl w:val="0"/>
        </w:rPr>
        <w:t xml:space="preserve">. En entornos de producción con recursos limitados y textos muy cortos (tiques), fastText es a menudo el </w:t>
      </w:r>
      <w:r w:rsidDel="00000000" w:rsidR="00000000" w:rsidRPr="00000000">
        <w:rPr>
          <w:rFonts w:ascii="Google Sans" w:cs="Google Sans" w:eastAsia="Google Sans" w:hAnsi="Google Sans"/>
          <w:i w:val="1"/>
          <w:iCs w:val="1"/>
          <w:color w:val="1f1f1f"/>
          <w:rtl w:val="0"/>
        </w:rPr>
        <w:t xml:space="preserve">SOTA</w:t>
      </w:r>
      <w:r w:rsidDel="00000000" w:rsidR="00000000" w:rsidRPr="00000000">
        <w:rPr>
          <w:rFonts w:ascii="Google Sans" w:cs="Google Sans" w:eastAsia="Google Sans" w:hAnsi="Google Sans"/>
          <w:color w:val="1f1f1f"/>
          <w:rtl w:val="0"/>
        </w:rPr>
        <w:t xml:space="preserve"> funcional (State of the Art) por su relación latencia/precisión.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Trabajos clave faltantes:</w:t>
      </w:r>
      <w:r w:rsidDel="00000000" w:rsidR="00000000" w:rsidRPr="00000000">
        <w:rPr>
          <w:rFonts w:ascii="Google Sans" w:cs="Google Sans" w:eastAsia="Google Sans" w:hAnsi="Google Sans"/>
          <w:color w:val="1f1f1f"/>
          <w:rtl w:val="0"/>
        </w:rPr>
        <w:t xml:space="preserve"> No se mencionaron los marcos de </w:t>
      </w:r>
      <w:r w:rsidDel="00000000" w:rsidR="00000000" w:rsidRPr="00000000">
        <w:rPr>
          <w:rFonts w:ascii="Google Sans" w:cs="Google Sans" w:eastAsia="Google Sans" w:hAnsi="Google Sans"/>
          <w:b w:val="1"/>
          <w:bCs w:val="1"/>
          <w:color w:val="1f1f1f"/>
          <w:rtl w:val="0"/>
        </w:rPr>
        <w:t xml:space="preserve">Record Linkage</w:t>
      </w:r>
      <w:r w:rsidDel="00000000" w:rsidR="00000000" w:rsidRPr="00000000">
        <w:rPr>
          <w:rFonts w:ascii="Google Sans" w:cs="Google Sans" w:eastAsia="Google Sans" w:hAnsi="Google Sans"/>
          <w:color w:val="1f1f1f"/>
          <w:rtl w:val="0"/>
        </w:rPr>
        <w:t xml:space="preserve"> probabilístico de Peter Christen, fundamentales para el </w:t>
      </w:r>
      <w:r w:rsidDel="00000000" w:rsidR="00000000" w:rsidRPr="00000000">
        <w:rPr>
          <w:rFonts w:ascii="Google Sans" w:cs="Google Sans" w:eastAsia="Google Sans" w:hAnsi="Google Sans"/>
          <w:i w:val="1"/>
          <w:iCs w:val="1"/>
          <w:color w:val="1f1f1f"/>
          <w:rtl w:val="0"/>
        </w:rPr>
        <w:t xml:space="preserve">matching</w:t>
      </w:r>
      <w:r w:rsidDel="00000000" w:rsidR="00000000" w:rsidRPr="00000000">
        <w:rPr>
          <w:rFonts w:ascii="Google Sans" w:cs="Google Sans" w:eastAsia="Google Sans" w:hAnsi="Google Sans"/>
          <w:color w:val="1f1f1f"/>
          <w:rtl w:val="0"/>
        </w:rPr>
        <w:t xml:space="preserve"> de artículos cuando no hay identificadores únicos. Tampoco se incluyó el benchmark </w:t>
      </w:r>
      <w:r w:rsidDel="00000000" w:rsidR="00000000" w:rsidRPr="00000000">
        <w:rPr>
          <w:rFonts w:ascii="Google Sans" w:cs="Google Sans" w:eastAsia="Google Sans" w:hAnsi="Google Sans"/>
          <w:b w:val="1"/>
          <w:bCs w:val="1"/>
          <w:color w:val="1f1f1f"/>
          <w:rtl w:val="0"/>
        </w:rPr>
        <w:t xml:space="preserve">MTEB</w:t>
      </w:r>
      <w:r w:rsidDel="00000000" w:rsidR="00000000" w:rsidRPr="00000000">
        <w:rPr>
          <w:rFonts w:ascii="Google Sans" w:cs="Google Sans" w:eastAsia="Google Sans" w:hAnsi="Google Sans"/>
          <w:color w:val="1f1f1f"/>
          <w:rtl w:val="0"/>
        </w:rPr>
        <w:t xml:space="preserve"> para justificar la elección del embedding multilingüe.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Evidencia vs. Extrapolación:</w:t>
      </w:r>
      <w:r w:rsidDel="00000000" w:rsidR="00000000" w:rsidRPr="00000000">
        <w:rPr>
          <w:rFonts w:ascii="Google Sans" w:cs="Google Sans" w:eastAsia="Google Sans" w:hAnsi="Google Sans"/>
          <w:color w:val="1f1f1f"/>
          <w:rtl w:val="0"/>
        </w:rPr>
        <w:t xml:space="preserve"> Se afirmó que MiniLM es "más robusto ante la asimetría". La evidencia sugiere que la asimetría se resuelve mejor con funciones de pérdida específicas (</w:t>
      </w:r>
      <w:r w:rsidDel="00000000" w:rsidR="00000000" w:rsidRPr="00000000">
        <w:rPr>
          <w:rFonts w:ascii="Google Sans" w:cs="Google Sans" w:eastAsia="Google Sans" w:hAnsi="Google Sans"/>
          <w:i w:val="1"/>
          <w:iCs w:val="1"/>
          <w:color w:val="1f1f1f"/>
          <w:rtl w:val="0"/>
        </w:rPr>
        <w:t xml:space="preserve">Focal Loss</w:t>
      </w:r>
      <w:r w:rsidDel="00000000" w:rsidR="00000000" w:rsidRPr="00000000">
        <w:rPr>
          <w:rFonts w:ascii="Google Sans" w:cs="Google Sans" w:eastAsia="Google Sans" w:hAnsi="Google Sans"/>
          <w:color w:val="1f1f1f"/>
          <w:rtl w:val="0"/>
        </w:rPr>
        <w:t xml:space="preserve">) o técnicas de muestreo (SMOTE), independientemente de la arquitectura del embedding.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Propuesta Metodológica Robustecida (Versión TFM v2.0)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versión integra las correcciones de la auditoría y se posiciona para una defensa de alto nivel.</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Comparativa Sistémica de Arquitecturas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S1: Reglas + TF-IDF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S2: Reglas + fastText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S3: Multilingual-MiniLM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Discreta (Sparse)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Sub-palabra (N-gramas)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Semántica Densa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Manejo de Erratas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Nulo (sensible a ruido)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Excelente</w:t>
            </w:r>
            <w:r w:rsidDel="00000000" w:rsidR="00000000" w:rsidRPr="00000000">
              <w:rPr>
                <w:rFonts w:ascii="Google Sans" w:cs="Google Sans" w:eastAsia="Google Sans" w:hAnsi="Google Sans"/>
                <w:color w:val="1f1f1f"/>
                <w:shd w:fill="auto" w:val="clear"/>
                <w:rtl w:val="0"/>
              </w:rPr>
              <w:t xml:space="preserve"> (morfología)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Medio-Alto (contexto)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Agnóstico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Entrenado en Spanish CC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Multilingüe (Distil)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2 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50-100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(Pesos de palabras)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(Vectores estáticos)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(Atención profunda)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Justificación de la Elección: Sistema Híbrido Multimodal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principal </w:t>
      </w:r>
      <w:r w:rsidDel="00000000" w:rsidR="00000000" w:rsidRPr="00000000">
        <w:rPr>
          <w:rFonts w:ascii="Google Sans" w:cs="Google Sans" w:eastAsia="Google Sans" w:hAnsi="Google Sans"/>
          <w:b w:val="1"/>
          <w:bCs w:val="1"/>
          <w:color w:val="1f1f1f"/>
          <w:rtl w:val="0"/>
        </w:rPr>
        <w:t xml:space="preserve">no debe ser un modelo único</w:t>
      </w:r>
      <w:r w:rsidDel="00000000" w:rsidR="00000000" w:rsidRPr="00000000">
        <w:rPr>
          <w:rFonts w:ascii="Google Sans" w:cs="Google Sans" w:eastAsia="Google Sans" w:hAnsi="Google Sans"/>
          <w:color w:val="1f1f1f"/>
          <w:rtl w:val="0"/>
        </w:rPr>
        <w:t xml:space="preserve">, sino una arquitectura de </w:t>
      </w:r>
      <w:r w:rsidDel="00000000" w:rsidR="00000000" w:rsidRPr="00000000">
        <w:rPr>
          <w:rFonts w:ascii="Google Sans" w:cs="Google Sans" w:eastAsia="Google Sans" w:hAnsi="Google Sans"/>
          <w:b w:val="1"/>
          <w:bCs w:val="1"/>
          <w:color w:val="1f1f1f"/>
          <w:rtl w:val="0"/>
        </w:rPr>
        <w:t xml:space="preserve">Record Linkage</w:t>
      </w:r>
      <w:r w:rsidDel="00000000" w:rsidR="00000000" w:rsidRPr="00000000">
        <w:rPr>
          <w:rFonts w:ascii="Google Sans" w:cs="Google Sans" w:eastAsia="Google Sans" w:hAnsi="Google Sans"/>
          <w:color w:val="1f1f1f"/>
          <w:rtl w:val="0"/>
        </w:rPr>
        <w:t xml:space="preserve"> jerárquica:</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Determinista (Reglas):</w:t>
      </w:r>
      <w:r w:rsidDel="00000000" w:rsidR="00000000" w:rsidRPr="00000000">
        <w:rPr>
          <w:rFonts w:ascii="Google Sans" w:cs="Google Sans" w:eastAsia="Google Sans" w:hAnsi="Google Sans"/>
          <w:color w:val="1f1f1f"/>
          <w:rtl w:val="0"/>
        </w:rPr>
        <w:t xml:space="preserve"> Filtrado inmediato de artículos prohibidos por el FSE+ (alcohol, tabaco) mediante expresiones regulares optimizadas.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de Similitud Morfológica (fastText):</w:t>
      </w:r>
      <w:r w:rsidDel="00000000" w:rsidR="00000000" w:rsidRPr="00000000">
        <w:rPr>
          <w:rFonts w:ascii="Google Sans" w:cs="Google Sans" w:eastAsia="Google Sans" w:hAnsi="Google Sans"/>
          <w:color w:val="1f1f1f"/>
          <w:rtl w:val="0"/>
        </w:rPr>
        <w:t xml:space="preserve"> Para resolver abreviaturas técnicas y errores tipográficos en los nombres de productos donde el contexto semántico es irrelevante.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Semántica (Multilingual-MiniLM):</w:t>
      </w:r>
      <w:r w:rsidDel="00000000" w:rsidR="00000000" w:rsidRPr="00000000">
        <w:rPr>
          <w:rFonts w:ascii="Google Sans" w:cs="Google Sans" w:eastAsia="Google Sans" w:hAnsi="Google Sans"/>
          <w:color w:val="1f1f1f"/>
          <w:rtl w:val="0"/>
        </w:rPr>
        <w:t xml:space="preserve"> Solo para casos ambiguos donde el contexto define la elegibilidad (ej. "leche entera" vs "leche de continuación").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Rigor Técnico y Defensa ante Tribunal</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Soberanía del Dato:</w:t>
      </w:r>
      <w:r w:rsidDel="00000000" w:rsidR="00000000" w:rsidRPr="00000000">
        <w:rPr>
          <w:rFonts w:ascii="Google Sans" w:cs="Google Sans" w:eastAsia="Google Sans" w:hAnsi="Google Sans"/>
          <w:color w:val="1f1f1f"/>
          <w:rtl w:val="0"/>
        </w:rPr>
        <w:t xml:space="preserve"> El uso de MiniLM y fastText bajo Python/Colab permite el despliegue </w:t>
      </w:r>
      <w:r w:rsidDel="00000000" w:rsidR="00000000" w:rsidRPr="00000000">
        <w:rPr>
          <w:rFonts w:ascii="Google Sans" w:cs="Google Sans" w:eastAsia="Google Sans" w:hAnsi="Google Sans"/>
          <w:i w:val="1"/>
          <w:iCs w:val="1"/>
          <w:color w:val="1f1f1f"/>
          <w:rtl w:val="0"/>
        </w:rPr>
        <w:t xml:space="preserve">on-premise</w:t>
      </w:r>
      <w:r w:rsidDel="00000000" w:rsidR="00000000" w:rsidRPr="00000000">
        <w:rPr>
          <w:rFonts w:ascii="Google Sans" w:cs="Google Sans" w:eastAsia="Google Sans" w:hAnsi="Google Sans"/>
          <w:color w:val="1f1f1f"/>
          <w:rtl w:val="0"/>
        </w:rPr>
        <w:t xml:space="preserve">, garantizando que los datos de familias vulnerables no abandonen la infraestructura pública, cumpliendo con el ENS (Esquema Nacional de Seguridad).</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Eficiencia Computacional:</w:t>
      </w:r>
      <w:r w:rsidDel="00000000" w:rsidR="00000000" w:rsidRPr="00000000">
        <w:rPr>
          <w:rFonts w:ascii="Google Sans" w:cs="Google Sans" w:eastAsia="Google Sans" w:hAnsi="Google Sans"/>
          <w:color w:val="1f1f1f"/>
          <w:rtl w:val="0"/>
        </w:rPr>
        <w:t xml:space="preserve"> Se justifica la elección de modelos pequeños (SLM) frente a LLMs masivos basándose en el </w:t>
      </w:r>
      <w:r w:rsidDel="00000000" w:rsidR="00000000" w:rsidRPr="00000000">
        <w:rPr>
          <w:rFonts w:ascii="Google Sans" w:cs="Google Sans" w:eastAsia="Google Sans" w:hAnsi="Google Sans"/>
          <w:b w:val="1"/>
          <w:bCs w:val="1"/>
          <w:color w:val="1f1f1f"/>
          <w:rtl w:val="0"/>
        </w:rPr>
        <w:t xml:space="preserve">Coste del Error</w:t>
      </w:r>
      <w:r w:rsidDel="00000000" w:rsidR="00000000" w:rsidRPr="00000000">
        <w:rPr>
          <w:rFonts w:ascii="Google Sans" w:cs="Google Sans" w:eastAsia="Google Sans" w:hAnsi="Google Sans"/>
          <w:color w:val="1f1f1f"/>
          <w:rtl w:val="0"/>
        </w:rPr>
        <w:t xml:space="preserve"> y la sostenibilidad. Un modelo de 22M de parámetros es 100x más eficiente para clasificar strings de 5 palabras que un modelo GPT.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Métricas de Evaluación:</w:t>
      </w:r>
      <w:r w:rsidDel="00000000" w:rsidR="00000000" w:rsidRPr="00000000">
        <w:rPr>
          <w:rFonts w:ascii="Google Sans" w:cs="Google Sans" w:eastAsia="Google Sans" w:hAnsi="Google Sans"/>
          <w:color w:val="1f1f1f"/>
          <w:rtl w:val="0"/>
        </w:rPr>
        <w:t xml:space="preserve"> Se recomienda el uso de </w:t>
      </w:r>
      <w:r w:rsidDel="00000000" w:rsidR="00000000" w:rsidRPr="00000000">
        <w:rPr>
          <w:rFonts w:ascii="Google Sans" w:cs="Google Sans" w:eastAsia="Google Sans" w:hAnsi="Google Sans"/>
          <w:b w:val="1"/>
          <w:bCs w:val="1"/>
          <w:color w:val="1f1f1f"/>
          <w:rtl w:val="0"/>
        </w:rPr>
        <w:t xml:space="preserve">F1-Macro</w:t>
      </w:r>
      <w:r w:rsidDel="00000000" w:rsidR="00000000" w:rsidRPr="00000000">
        <w:rPr>
          <w:rFonts w:ascii="Google Sans" w:cs="Google Sans" w:eastAsia="Google Sans" w:hAnsi="Google Sans"/>
          <w:color w:val="1f1f1f"/>
          <w:rtl w:val="0"/>
        </w:rPr>
        <w:t xml:space="preserve"> para penalizar errores en categorías minoritarias (ej. productos de higiene femenina), que son críticas para el Programa BÁSICO pero menos frecuentes en el dataset.</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Riesgos y Mitigación Crítica</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 de Alucinación Semántica:</w:t>
      </w:r>
      <w:r w:rsidDel="00000000" w:rsidR="00000000" w:rsidRPr="00000000">
        <w:rPr>
          <w:rFonts w:ascii="Google Sans" w:cs="Google Sans" w:eastAsia="Google Sans" w:hAnsi="Google Sans"/>
          <w:color w:val="1f1f1f"/>
          <w:rtl w:val="0"/>
        </w:rPr>
        <w:t xml:space="preserve"> Los Transformers pueden asignar alta similitud a términos opuestos si comparten contexto. </w:t>
      </w: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Inyectar una capa de </w:t>
      </w:r>
      <w:r w:rsidDel="00000000" w:rsidR="00000000" w:rsidRPr="00000000">
        <w:rPr>
          <w:rFonts w:ascii="Google Sans" w:cs="Google Sans" w:eastAsia="Google Sans" w:hAnsi="Google Sans"/>
          <w:i w:val="1"/>
          <w:iCs w:val="1"/>
          <w:color w:val="1f1f1f"/>
          <w:rtl w:val="0"/>
        </w:rPr>
        <w:t xml:space="preserve">Fuzzy Matching</w:t>
      </w:r>
      <w:r w:rsidDel="00000000" w:rsidR="00000000" w:rsidRPr="00000000">
        <w:rPr>
          <w:rFonts w:ascii="Google Sans" w:cs="Google Sans" w:eastAsia="Google Sans" w:hAnsi="Google Sans"/>
          <w:color w:val="1f1f1f"/>
          <w:rtl w:val="0"/>
        </w:rPr>
        <w:t xml:space="preserve"> (Levenshtein) para validar que la cadena predicha tiene coherencia léxica con el input.</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Asimetría de Datos:</w:t>
      </w:r>
      <w:r w:rsidDel="00000000" w:rsidR="00000000" w:rsidRPr="00000000">
        <w:rPr>
          <w:rFonts w:ascii="Google Sans" w:cs="Google Sans" w:eastAsia="Google Sans" w:hAnsi="Google Sans"/>
          <w:color w:val="1f1f1f"/>
          <w:rtl w:val="0"/>
        </w:rPr>
        <w:t xml:space="preserve"> El Programa BÁSICO tendrá un $90\%$ de productos permitidos. </w:t>
      </w: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Aplicar </w:t>
      </w:r>
      <w:r w:rsidDel="00000000" w:rsidR="00000000" w:rsidRPr="00000000">
        <w:rPr>
          <w:rFonts w:ascii="Google Sans" w:cs="Google Sans" w:eastAsia="Google Sans" w:hAnsi="Google Sans"/>
          <w:i w:val="1"/>
          <w:iCs w:val="1"/>
          <w:color w:val="1f1f1f"/>
          <w:rtl w:val="0"/>
        </w:rPr>
        <w:t xml:space="preserve">Cost-Sensitive Learning</w:t>
      </w:r>
      <w:r w:rsidDel="00000000" w:rsidR="00000000" w:rsidRPr="00000000">
        <w:rPr>
          <w:rFonts w:ascii="Google Sans" w:cs="Google Sans" w:eastAsia="Google Sans" w:hAnsi="Google Sans"/>
          <w:color w:val="1f1f1f"/>
          <w:rtl w:val="0"/>
        </w:rPr>
        <w:t xml:space="preserve"> asignando un peso mayor al error en la clase "No Elegible" para evitar el fraude.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Límites de Colab:</w:t>
      </w:r>
      <w:r w:rsidDel="00000000" w:rsidR="00000000" w:rsidRPr="00000000">
        <w:rPr>
          <w:rFonts w:ascii="Google Sans" w:cs="Google Sans" w:eastAsia="Google Sans" w:hAnsi="Google Sans"/>
          <w:color w:val="1f1f1f"/>
          <w:rtl w:val="0"/>
        </w:rPr>
        <w:t xml:space="preserve"> El agotamiento de la VRAM en la versión gratuita. </w:t>
      </w: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Utilización de la librería Sentence-Transformers con torch.dtype=float16 y exportación a </w:t>
      </w:r>
      <w:r w:rsidDel="00000000" w:rsidR="00000000" w:rsidRPr="00000000">
        <w:rPr>
          <w:rFonts w:ascii="Google Sans" w:cs="Google Sans" w:eastAsia="Google Sans" w:hAnsi="Google Sans"/>
          <w:b w:val="1"/>
          <w:bCs w:val="1"/>
          <w:color w:val="1f1f1f"/>
          <w:rtl w:val="0"/>
        </w:rPr>
        <w:t xml:space="preserve">ONNX</w:t>
      </w:r>
      <w:r w:rsidDel="00000000" w:rsidR="00000000" w:rsidRPr="00000000">
        <w:rPr>
          <w:rFonts w:ascii="Google Sans" w:cs="Google Sans" w:eastAsia="Google Sans" w:hAnsi="Google Sans"/>
          <w:color w:val="1f1f1f"/>
          <w:rtl w:val="0"/>
        </w:rPr>
        <w:t xml:space="preserve"> para inferencia ultra-rápida.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Metodológica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TFM debe proponer el </w:t>
      </w:r>
      <w:r w:rsidDel="00000000" w:rsidR="00000000" w:rsidRPr="00000000">
        <w:rPr>
          <w:rFonts w:ascii="Google Sans" w:cs="Google Sans" w:eastAsia="Google Sans" w:hAnsi="Google Sans"/>
          <w:b w:val="1"/>
          <w:bCs w:val="1"/>
          <w:color w:val="1f1f1f"/>
          <w:rtl w:val="0"/>
        </w:rPr>
        <w:t xml:space="preserve">Sistema 2 (fastText)</w:t>
      </w:r>
      <w:r w:rsidDel="00000000" w:rsidR="00000000" w:rsidRPr="00000000">
        <w:rPr>
          <w:rFonts w:ascii="Google Sans" w:cs="Google Sans" w:eastAsia="Google Sans" w:hAnsi="Google Sans"/>
          <w:color w:val="1f1f1f"/>
          <w:rtl w:val="0"/>
        </w:rPr>
        <w:t xml:space="preserve"> como el motor de robustez léxica y el </w:t>
      </w:r>
      <w:r w:rsidDel="00000000" w:rsidR="00000000" w:rsidRPr="00000000">
        <w:rPr>
          <w:rFonts w:ascii="Google Sans" w:cs="Google Sans" w:eastAsia="Google Sans" w:hAnsi="Google Sans"/>
          <w:b w:val="1"/>
          <w:bCs w:val="1"/>
          <w:color w:val="1f1f1f"/>
          <w:rtl w:val="0"/>
        </w:rPr>
        <w:t xml:space="preserve">Sistema 3 (Multilingual-MiniLM)</w:t>
      </w:r>
      <w:r w:rsidDel="00000000" w:rsidR="00000000" w:rsidRPr="00000000">
        <w:rPr>
          <w:rFonts w:ascii="Google Sans" w:cs="Google Sans" w:eastAsia="Google Sans" w:hAnsi="Google Sans"/>
          <w:color w:val="1f1f1f"/>
          <w:rtl w:val="0"/>
        </w:rPr>
        <w:t xml:space="preserve"> como el refinador semántico. Esta combinación, enmarcada en una arquitectura de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 ofrece la mayor defendibilidad académica al equilibrar la teoría moderna de embeddings con la realidad práctica de los datos administrativos españoles.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