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Investigación Aplicada sobre Sistemas Híbridos de Clasificación Textual y Resolución de Entidades para el Control Financiero del Programa BÁSICO CARM-FSE+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Resumen ejecutivo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presente informe de investigación aborda el diseño, la fundamentación teórica y la viabilidad técnica de un sistema de apoyo a la decisión basado en Inteligencia Artificial y Ciencia de Datos, cuyo propósito es la clasificación automatizada de las líneas de detalle pertenecientes a facturas y recibos de caja (tickets) del Fichero 03 del Programa BÁSICO. Este programa, enmarcado dentro del Fondo Social Europeo Plus (FSE+) y gestionado en la Comunidad Autónoma de la Región de Murcia (CARM), tiene como objetivo mitigar la privación material severa mediante la entrega de tarjetas monedero a familias vulnerables con menores a cargo.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garantizar la correcta justificación financiera de los fondos europeos, el sistema debe evaluar individualmente cada artículo adquirido y categorizarlo en una de tres clases operativas: PERMITIDO, NO PERMITIDO o REVISAR, basándose en normativas estrictas que excluyen explícitamente productos como bebidas alcohólicas, refrescos azucarados, bollería, productos dietéticos y agua embotellada.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desafío analítico fundamental de este proyecto trasciende la mera extracción de datos en documentos estructurados, adentrándose en el ámbito complejo del procesamiento de textos cortos, ruidosos y asimétricos. Las descripciones de los artículos en el sector minorista y de bienes de consumo de alta rotación (FMCG) carecen de una taxonomía universal. En su lugar, los recibos de caja presentan cadenas de caracteres severamente truncadas, repletas de abreviaturas idiosincrásicas, errores ortográficos y variantes comerciales heterogéneas.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 asimetría informativa, donde una regla de negocio requiere identificar "bebida azucarada" a partir de un texto de entrada como "REF. NARANJ. 33CL", exige soluciones avanzadas de resolución de entidades y emparejamiento de productos que operen de manera determinista y auditable. Adicionalmente, la restricción de infraestructura computacional impone que la solución debe ser desplegable en el entorno gratuito de Google Colab, lo que inhabilita el uso continuo de grandes modelos fundacionales debido a la volatilidad en la asignación de memoria y unidades de procesamiento gráfico (GPU).</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síntesis de la literatura académica, contrastada con el estado del arte en soluciones comerciales, revela que los enfoques basados exclusivamente en reglas lógicas son insuficientes frente a la explosión combinatoria de las variantes léxicas. Asimismo, los modelos masivos de lenguaje resultan prohibitivos por su coste de inferencia y su naturaleza de caja negra.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En consecuencia, la investigación evalúa tres arquitecturas candidatas. La primera, basada en la vectorización por Frecuencia de Término y Frecuencia Inversa de Documento (TF-IDF) acoplada a clasificadores lineales y reglas de negocio, se consolida como una línea base robusta y computacionalmente trivial, aunque vulnerable a variaciones morfológicas extremas.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La segunda arquitectura, fundamentada en representaciones de n-gramas de caracteres mediante fastText, emerge como una solución excepcionalmente ágil para mitigar el ruido sintáctico y el truncamiento, procesando eficientemente en unidades centrales de procesamiento (CPU) genéricas.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 tercera propuesta, centrada en transformadores semánticos ligeros como MiniLM, ofrece la máxima capacidad de desambiguación contextual; sin embargo, su viabilidad en Google Colab depende críticamente de técnicas recientes de destilación estática, como Model2Vec, capaces de acelerar la inferencia en varios órdenes de magnitud sin sacrificar el rendimiento semántico.</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concluye identificando un hiato significativo tanto en la investigación aplicada como en el mercado de software comercial. Mientras que las plataformas empresariales de automatización de cuentas por pagar se centran en la conciliación de facturas contra órdenes de compra preexistentes mediante identificadores de producto normalizados, carecen de mecanismos ágiles para aplicar normativas gubernamentales complejas sobre textos minoristas libres y caóticos.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El Trabajo de Fin de Máster (TFM) propuesto tiene la oportunidad de posicionarse precisamente en esta intersección, demostrando que la integración de emparejamiento difuso determinista, clasificadores léxicos de alta velocidad y representaciones semánticas destiladas puede salvaguardar el erario público con un coste computacional marginal y una alta trazabilidad para las auditorías del Fondo Social Europeo.</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Estrategia de búsqueda y criterios de selección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consecución de una investigación exhaustiva y crítica sobre un problema tan especializado requirió el diseño de un protocolo de búsqueda iterativa, basado en la triangulación metodológica entre la literatura académica de vanguardia, los repositorios institucionales de tesis y normativas, y la documentación técnica de la industria tecnológica. Este enfoque estructurado garantizó que las soluciones evaluadas no solo poseyeran mérito teórico, sino que fueran pragmáticamente viables dadas las restricciones del entorno de despliegue propuesto.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selección de las fuentes de información se rigió por un estricto orden de precedencia. En el vértice de la jerarquía (Nivel 1), se exploraron bases de datos científicas revisadas por pares y actas de conferencias de primer nivel en ciencia de datos y procesamiento de lenguaje natural, tales como la Association for Computational Linguistics (ACL), Very Large Data Bases (VLDB), ACM y MDPI.</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Se prestó especial atención a repositorios institucionales para recuperar trabajos de fin de máster y tesis doctorales recientes que abordaran problemas análogos, como la tesis doctoral defendida en la Universidad de Cardiff sobre clasificación de productos para comercio internacional, la cual aportó hallazgos invaluables sobre el uso de transformadores en textos transaccionales asimétricos.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Asimismo, la búsqueda en repositorios gubernamentales y boletines oficiales (BOE, BOIB, DOE) fue imperativa para extraer la ontología exacta y las exclusiones categóricas del Programa Básico del FSE+, estableciendo así los cimientos normativos de las reglas de negocio.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acceso a preimpresiones en arXiv se limitó estrictamente a investigaciones metodológicamente rigurosas, respaldadas empíricamente y frecuentemente citadas, particularmente aquellas referidas a innovaciones recientes en destilación de modelos y resolución de entidades.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En un estrato secundario (Nivel 2), se procedió al análisis de manuales técnicos, libros blancos y documentación de interfaz de programación de aplicaciones (API) de proveedores de software comercial líderes en el procesamiento inteligente de documentos, incluyendo Rossum, HighRadius y OpenText, con el fin de mapear las capacidades reales del sector privado y delimitar el vacío aplicativo.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formulación de las ecuaciones de búsqueda se fundamentó en la descomposición del problema en subtemas intersectados. Para capturar la esencia del emparejamiento de productos en entornos minoristas, se emplearon combinaciones booleanas de términos como la resolución de entidades, el cruce de registros y la clasificación de líneas de factura. Simultáneamente, la exploración algorítmica se dirigió utilizando los nombres precisos de las familias de modelos candidatas, cruzándolas con descriptores del desafío del texto corto y ruidoso. Finalmente, se diseñaron cadenas de búsqueda específicas para evaluar las bibliotecas de optimización de código abierto en Python, priorizando aquellas capaces de calcular similitudes difusas con máxima eficiencia computacional.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criterios de inclusión exigieron que los estudios seleccionados presentaran un marco metodológico reproducible, operaran sobre conjuntos de datos asimétricos o vinculados al comercio minorista, y reportaran métricas cuantitativas estandarizadas, tales como la precisión global, la exhaustividad, el valor F1 y el rendimiento inferencial medido en operaciones por segundo. Se excluyeron deliberadamente artículos de divulgación sin base técnica, aproximaciones basadas en grandes modelos de lenguaje cerrados cuyos costes de inferencia son opacos, y estudios centrados en la clasificación de textos largos (como ensayos o noticias), dado que la distribución estadística de un documento extenso es inaplicable a una descripción fragmentaria de quince caracteres impresa en un recibo de supermercado. Una consideración decisiva para la inclusión fue la evaluación del rendimiento de los algoritmos en unidades centrales de procesamiento (CPU), garantizando así que las conclusiones derivadas fueran directamente transferibles a las limitaciones operativas de la capa gratuita de Google Colab.</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Estado del arte académico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escrutinio del estado del arte se organiza metodológicamente en torno a los tres ecosistemas algorítmicos postulados para el núcleo del sistema de clasificación, extendiéndose posteriormente hacia el dominio aplicado de la resolución de entidades comerciales, las herramientas computacionales de métricas de distancia léxica y las contribuciones de la investigación universitaria reciente.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TF-IDF + clasificadores lineales / sparse methods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transformación de textos en espacios vectoriales utilizando la Frecuencia de Término y Frecuencia Inversa de Documento (TF-IDF) ha sido durante décadas la piedra angular de la recuperación de información. Al combinar esta representación dispersa con clasificadores de margen máximo, como las Máquinas de Vectores de Soporte (SVM), o enfoques probabilísticos como la Regresión Logística, se obtiene una arquitectura que, si bien carece de profundidad contextual, exhibe una eficiencia computacional superlativa y una alta interpretabilidad.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contexto de la minería de textos asimétricos, diversas investigaciones han validado empíricamente la robustez de este paradigma. Bai (2011) demostró que el uso de clasificación logística, respaldada por validación cruzada, alcanzaba niveles de precisión del 92,7% en la clasificación textual, destacando que la regresión logística, al modelar probabilidades binarias, proporciona una salida interpretable y directa para la toma de decisiones.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Paralelamente, en aplicaciones sectoriales complejas, la literatura reporta que la vectorización basada en la eliminación de palabras vacías y la reducción morfológica (stemming), seguida de la aplicación de SVM, arroja precisiones sostenidas en el rango del 85,2% al 86,5% utilizando espacios de características de entre mil y tres mil dimensiones.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Rehman et al. aportaron evidencia sobre la importancia crítica de la selección de características en este tipo de arquitecturas dispersas; su trabajo demostró que la eliminación de atributos irrelevantes y redundantes mediante filtros de medición de diferencia normalizada mejora dramáticamente el rendimiento algorítmico, un factor determinante cuando se modelan miles de recibos de supermercado con ruido inherente.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Más allá de los modelos puros, el diseño de sistemas híbridos que amalgaman reglas heurísticas con el aprendizaje automático ha demostrado ser altamente efectivo para mitigar la falibilidad estadística. Investigadores del Instituto de Ciencias Matemáticas y Computacionales de la Universidad de São Paulo documentaron una arquitectura en cascada donde clasificadores basados en reglas léxicas operaban conjuntamente con modelos de aprendizaje automático.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En entornos similares, se ha comprobado que la formulación de reglas de rechazo para interceptar falsos positivos emitidos por un clasificador estadístico mejora considerablemente la precisión general de los sistemas de categorización de textos.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Para el caso de uso del FSE+, donde autorizar erróneamente un artículo prohibido como el alcohol constituye un fallo crítico de auditoría, la adopción de estas arquitecturas de bloqueo lógico superpuestas al modelo lineal es obligatoria.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limitaciones de este enfoque radican en su inherente ceguera semántica y su susceptibilidad a las variaciones fuera de vocabulario (OOV). En un modelo TF-IDF, una alteración tipográfica severa o el uso de un sinónimo no contemplado en la matriz de entrenamiento da como resultado vectores ortogonales, impidiendo la correcta clasificación. A pesar de ello, la comunidad científica sigue revitalizando este paradigma; innovaciones recientes como la biblioteca Luxical proponen combinar estas características dispersas tradicionales con densidades léxicas para escalar el rendimiento a grandes corpus sin sacrificar la velocidad endémica del modelo lineal.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En consecuencia, el Sistema 1 permanece como una aproximación fundamental, sirviendo como métrica de control (baseline) esencial frente a la cual se debe justificar el mayor coste computacional de cualquier alternativa de aprendizaje profundo desplegada en Colab.</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Investigación / Modelo Evaluado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Contexto de Aplicación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Representación / 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 Principal Reportada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Aportación y Relevancia para el TFM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Limitaciones Identificadas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Bai (2011)</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Clasificación de texto general y asimétrico.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TF-IDF / Selección heurística de características.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Precisión: 92,7%.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Demuestra que la Regresión Logística con validación cruzada y extracción TF-IDF es un clasificador binario de alta eficacia.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Sensible a la escasez de datos, incapaz de capturar dependencias semánticas complejas y variantes ortográficas.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Rehman et al.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Mejora de ML mediante selección de características.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Características filtradas + Naive Bayes / SVM.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Incremento estadístico en precisión frente a baselines.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Valida empíricamente que purgar atributos redundantes mejora la estabilidad de SVM en matrices dispersas.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Depende excesivamente de un preprocesamiento sintáctico riguroso y la disponibilidad de corpus limpios.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Sistema Híbrido (NILC USP)</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Análisis de sentimientos en textos muy cortos (Twitter).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Léxico + Reglas + Machine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F-Score: 56,31% (en un dominio extremadamente ruidoso).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Propone la arquitectura de tubería (pipeline) ideal: usar reglas para características duras y ML para zonas probabilísticas ambiguas.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creación de reglas requiere una intervención manual exhaustiva de expertos en el dominio.</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fastText y modelos subword eficientes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irrupción de fastText, desarrollada por Bojanowski et al. (2017), alteró el paisaje del procesamiento del lenguaje natural para corpus ruidosos, introduciendo un avance crítico: la representación de las palabras no como entidades atómicas aisladas, sino como la agregación de sus n-gramas de caracteres constituyentes (subwords).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Esta innovación arquitectónica es teóricamente idónea para abordar las nomenclaturas de los tickets de caja.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fundamento metodológico permite que, al procesar la palabra "computadora", el modelo extraiga los trigramas de caracteres subyacentes. Si en un recibo posterior el texto aparece truncado como "computad", el modelo retiene una proporción altísima de los n-gramas originales, proyectando la cadena corrompida en un vector numérico extraordinariamente cercano al de la palabra íntegra.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Esta propiedad otorga a fastText una resistencia incomparable frente a los errores topográficos y las abreviaturas arbitrarias del comercio minorista, un escenario donde los embebidos clásicos estáticos (Word2Vec, GloVe) colapsan estrepitosamente al catalogar la cadena variante como una entidad desconocida.</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investigación académica avala la preeminencia de fastText en la clasificación de textos breves y volátiles. En estudios comparativos sobre análisis de opiniones públicas y microtextos generados por usuarios (un entorno de ruido comparable a la facturación minorista), fastText, operando sobre embeddings preentrenados, demostró ser una de las soluciones más resilientes, ofreciendo clasificaciones precisas superadas únicamente por arquitecturas Transformer profundas como RoBERTa, pero consumiendo apenas una fracción del coste computacional.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En evaluaciones estandarizadas de rendimiento de modelos de representación (Massive Text Embedding Benchmark, MTEB), las proyecciones estáticas derivadas de técnicas como fastText muestran una capacidad de inferencia masiva y veloz; en evaluaciones controladas sobre hardware genérico de CPU, modelos homólogos procesaron datos con una latencia significativamente inferior a la de los modelos de auto-atención, priorizando el rendimiento bruto sin degradar severamente las métricas de clasificación.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el desarrollo del TFM, el Sistema 2, centrado en fastText supervisado, se perfila como un mecanismo excepcionalmente adaptable. La biblioteca está optimizada internamente con estructuras de datos jerárquicas (árboles de Huffman) que reducen la complejidad temporal de la clasificación logística multiclasificador a un nivel logarítmico, garantizando que el entrenamiento de millones de parámetros transcurra en cuestión de segundos dentro de Google Colab. La limitación inherente a esta familia algorítmica es su incapacidad para modelar el orden secuencial de largo alcance o la polisemia profunda, un inconveniente menor dado que las líneas del Fichero 03 suelen ser secuencias de sustantivos nominales carentes de sintaxis verbal compleja.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Investigación / Modelo Evaluado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Contexto de Aplicación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Representación / 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 Principal Reportada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Aportación y Relevancia para el TFM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Limitaciones Identificadas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Bojanowski et al. (2017) (fastText)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Clasificación general de texto y embeddings densos estáticos.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Embebidos de sub-palabras (n-gramas de caracteres).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Aumento significativo en precisión para lenguajes morfológicamente ricos frente a Word2Vec.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Resuelve teóricamente el problema de palabras OOV y abreviaturas truncadas en tickets, compartiendo morfología.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Carece de la comprensión profunda del contexto dinámico (polisemia) propia de los Transformers.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Estudios de Clasificación Corta (COVID-19 Tweets)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Análisis de textos cortos, ruidosos y asimétricos.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fastText vs XLM-Roberta vs BERTić.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BERTić fue superior, pero fastText se mantuvo competitivo como baseline de bajo coste.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Demuestra la viabilidad de algoritmos ligeros para extraer información fiable de textos extremadamente cortos y ruidosos.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Rendimiento marginalmente inferior a las redes de auto-atención en tareas de inferencia semántica compleja.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Evaluaciones MTEB / Algoritmos Lexicales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Comparación de embeddings textuales en CPU.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fastText vs Embeddings masivos.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Inferencia extremadamente veloz, penalización del 10-15% en Accuracy frente a SBERT.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Consolida a fastText como la solución más segura y robusta para instancias de Google Colab restringidas y sin GPU.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permite búsqueda semántica cruzada cuando los nombres comerciales difieren morfológicamente de la taxonomía oficial.</w:t>
            </w:r>
          </w:p>
        </w:tc>
      </w:tr>
    </w:tbl>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Sentence-Transformers / MiniLM / SBERT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transición hacia arquitecturas basadas en auto-atención profunda (Transformers) ha establecido un nuevo estado del arte en el entendimiento del lenguaje. Para el análisis comparativo asimétrico, donde una descripción comercial difusa debe alinearse conceptualmente con una taxonomía regulatoria rígida (por ejemplo, comprender que un "Bollo de cacao relleno" viola la regla de "prohibida la bollería"), los modelos Sentence-BERT (SBERT) ofrecen capacidades de representación semántica inigualables.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modelo específico paraphrase-multilingual-MiniLM-L12-v2, núcleo del Sistema 3, es una variante multilingüe destilada que proyecta oraciones a un espacio vectorial denso de 384 dimensiones. Al haber sido entrenado mediante destilación de conocimiento a partir de redes más masivas sobre corpus paralelos en más de 50 idiomas, preserva la agudeza semántica de modelos mastodónticos mientras reduce drásticamente el número de parámetros.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En contextos de evaluación semántica, estos modelos ligeros logran puntuaciones altamente competitivas frente a codificadores robustos; la evidencia indica que, en configuraciones computacionales sin restricciones críticas, priorizar la precisión y la representación contextual mediante arquitecturas afines arroja las clasificaciones de mayor fidelidad en tareas de asimetría lógica.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Las pruebas de rendimiento atestiguan que la variante MiniLM-L12-v2 procesa aproximadamente 7.500 oraciones por segundo en hardware estándar, proporcionando un equilibrio razonable entre latencia y comprensión profunda.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barrera fundamental para implementar arquitecturas de atención profunda en un entorno gratuito intermitente como Google Colab es el agotamiento de memoria dinámica y los cuellos de botella en el preprocesamiento de tensores durante el entrenamiento. Sin embargo, investigaciones publicadas recientemente han revolucionado la aplicación de estos modelos en hardware restringido mediante la destilación estática, ejemplificada por </w:t>
      </w:r>
      <w:r w:rsidDel="00000000" w:rsidR="00000000" w:rsidRPr="00000000">
        <w:rPr>
          <w:rFonts w:ascii="Google Sans" w:cs="Google Sans" w:eastAsia="Google Sans" w:hAnsi="Google Sans"/>
          <w:b w:val="1"/>
          <w:bCs w:val="1"/>
          <w:color w:val="1f1f1f"/>
          <w:rtl w:val="0"/>
        </w:rPr>
        <w:t xml:space="preserve">Model2Vec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Este marco analítico extrae la inteligencia topológica del Transformer y la comprime en una tabla de embebidos estáticos masivamente optimizada. Los resultados publicados en los repositorios de aprendizaje automático son categóricos: un modelo estático Model2Vec de tan solo 32 megabytes logró retener un 92% de la precisión del modelo Transformer MiniLM original (de más de 100 megabytes) en el entorno de evaluación MTEB, catapultando el rendimiento de inferencia.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Al prescindir de las multiplicaciones matriciales de la capa de atención, el procesamiento superó las decenas de miles de inferencias por segundo en una CPU convencional, constituyendo una aceleración real de entre cien y quinientas veces.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integración de Model2Vec en el flujo de trabajo del TFM neutraliza instantáneamente la desventaja computacional del Sistema 3. Permite proyectar semánticamente el Fichero 03 hacia un clasificador ligero basado en K-Vecinos Más Cercanos (kNN) o realizar validaciones mediante métricas de similitud del coseno contra las definiciones de los productos prohibidos (alcohol, chucherías, dietéticos), instaurando un grado de gobernanza semántica previamente reservado para arquitecturas corporativas con aceleración en la nube.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Investigación / Modelo Evaluado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Contexto de Aplicación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Representación / 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 Principal Reportada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Aportación y Relevancia para el TFM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Limitaciones Identificadas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Evaluaciones Sentence-Transformers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Similitud semántica y búsqueda asimétrica multilingüe.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paraphrase-multilingual-MiniLM-L12-v2.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64,25 en rendimiento STS, ~7500 oraciones/segundo.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Proporciona el modelo preentrenado óptimo para cruzar taxonomías oficiales españolas con variantes regionales de recibos.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Coste computacional fluctuante en </w:t>
            </w:r>
            <w:r w:rsidDel="00000000" w:rsidR="00000000" w:rsidRPr="00000000">
              <w:rPr>
                <w:rFonts w:ascii="Google Sans" w:cs="Google Sans" w:eastAsia="Google Sans" w:hAnsi="Google Sans"/>
                <w:i w:val="1"/>
                <w:iCs w:val="1"/>
                <w:color w:val="1f1f1f"/>
                <w:shd w:fill="auto" w:val="clear"/>
                <w:rtl w:val="0"/>
              </w:rPr>
              <w:t xml:space="preserve">runtimes</w:t>
            </w:r>
            <w:r w:rsidDel="00000000" w:rsidR="00000000" w:rsidRPr="00000000">
              <w:rPr>
                <w:rFonts w:ascii="Google Sans" w:cs="Google Sans" w:eastAsia="Google Sans" w:hAnsi="Google Sans"/>
                <w:color w:val="1f1f1f"/>
                <w:shd w:fill="auto" w:val="clear"/>
                <w:rtl w:val="0"/>
              </w:rPr>
              <w:t xml:space="preserve"> gratuitos si se aplica </w:t>
            </w:r>
            <w:r w:rsidDel="00000000" w:rsidR="00000000" w:rsidRPr="00000000">
              <w:rPr>
                <w:rFonts w:ascii="Google Sans" w:cs="Google Sans" w:eastAsia="Google Sans" w:hAnsi="Google Sans"/>
                <w:i w:val="1"/>
                <w:iCs w:val="1"/>
                <w:color w:val="1f1f1f"/>
                <w:shd w:fill="auto" w:val="clear"/>
                <w:rtl w:val="0"/>
              </w:rPr>
              <w:t xml:space="preserve">fine-tuning</w:t>
            </w:r>
            <w:r w:rsidDel="00000000" w:rsidR="00000000" w:rsidRPr="00000000">
              <w:rPr>
                <w:rFonts w:ascii="Google Sans" w:cs="Google Sans" w:eastAsia="Google Sans" w:hAnsi="Google Sans"/>
                <w:color w:val="1f1f1f"/>
                <w:shd w:fill="auto" w:val="clear"/>
                <w:rtl w:val="0"/>
              </w:rPr>
              <w:t xml:space="preserve"> dinámico sin optimización previa.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Integración de Similitud Semántica (Modelos Ligeros)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Búsqueda asimétrica de catálogos y ranking de productos.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Embedding densos + similitud del coseno.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Utiliza nDCG@10 para medir la relevancia del cruce de catálogos.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Demuestra la fiabilidad de usar métricas geométricas simples (coseno) sobre representaciones de Transformers para tareas asimétricas.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ausencia de heurísticas estrictas puede resultar en falsos positivos inaceptables para auditorías financieras.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Model2Vec / Destilación Estática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Aceleración extrema de modelos semánticos en entornos sin GPU.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Transformador destilado a Embeddings estáticos (32MB).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Retención del ~92% de la precisión MTEB original; aceleración inferencial en CPU de hasta 500x.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 la innovación que hace viable y escalable el Sistema 3 en el entorno restringido de Google Colab gratuito.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Requiere un preprocesamiento cuidadoso para generar el vocabulario estático inicial sin perder conceptos marginales del dominio minorista.</w:t>
            </w:r>
          </w:p>
        </w:tc>
      </w:tr>
    </w:tbl>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Entity resolution / product matching / invoice line item matching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reconciliación de las descripciones fracturadas de un ticket de caja con una categoría regulatoria unificada se enmarca ontológicamente dentro de los dominios de la resolución de entidades (Entity Resolution, ER) y el cruce de productos (Product Matching). La literatura científica reciente ha documentado una evolución paradigmática en este campo, migrando de arquitecturas probabilísticas tradicionales hacia modelos masivos de atención profunda que asimilan estructuras tabulares y textuales simultáneamente.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trabajo pionero de Mudgal et al. (2018) con la arquitectura </w:t>
      </w:r>
      <w:r w:rsidDel="00000000" w:rsidR="00000000" w:rsidRPr="00000000">
        <w:rPr>
          <w:rFonts w:ascii="Google Sans" w:cs="Google Sans" w:eastAsia="Google Sans" w:hAnsi="Google Sans"/>
          <w:i w:val="1"/>
          <w:iCs w:val="1"/>
          <w:color w:val="1f1f1f"/>
          <w:rtl w:val="0"/>
        </w:rPr>
        <w:t xml:space="preserve">DeepMatcher</w:t>
      </w:r>
      <w:r w:rsidDel="00000000" w:rsidR="00000000" w:rsidRPr="00000000">
        <w:rPr>
          <w:rFonts w:ascii="Google Sans" w:cs="Google Sans" w:eastAsia="Google Sans" w:hAnsi="Google Sans"/>
          <w:color w:val="1f1f1f"/>
          <w:rtl w:val="0"/>
        </w:rPr>
        <w:t xml:space="preserve"> sentó las bases algorítmicas modernas al abordar la resolución de entidades como un problema de clasificación binaria ("coincide" frente a "no coincide"). DeepMatcher ensamblaba vectores de palabras preentrenados (como GloVe) y empleaba redes neuronales recurrentes (LSTM) con mecanismos de atención localizados para calcular distancias topológicas entre registros, demostrando un rendimiento superior en bases de datos asimétricas como Abt-Buy o WDC-Shoes.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el hito metodológico contemporáneo se consolidó con el desarrollo del sistema </w:t>
      </w:r>
      <w:r w:rsidDel="00000000" w:rsidR="00000000" w:rsidRPr="00000000">
        <w:rPr>
          <w:rFonts w:ascii="Google Sans" w:cs="Google Sans" w:eastAsia="Google Sans" w:hAnsi="Google Sans"/>
          <w:b w:val="1"/>
          <w:bCs w:val="1"/>
          <w:color w:val="1f1f1f"/>
          <w:rtl w:val="0"/>
        </w:rPr>
        <w:t xml:space="preserve">DITTO</w:t>
      </w:r>
      <w:r w:rsidDel="00000000" w:rsidR="00000000" w:rsidRPr="00000000">
        <w:rPr>
          <w:rFonts w:ascii="Google Sans" w:cs="Google Sans" w:eastAsia="Google Sans" w:hAnsi="Google Sans"/>
          <w:color w:val="1f1f1f"/>
          <w:rtl w:val="0"/>
        </w:rPr>
        <w:t xml:space="preserve"> (Li et al., 2020). DITTO abandonó los embebidos estáticos en favor de modelos de lenguaje preentrenados dinámicos (como RoBERTa), alterando fundamentalmente la forma en que los modelos asimilan el conocimiento. La aportación diferencial de DITTO reside en su canalización de aumento de datos; mediante la inyección estructurada de ruido (eliminación de fragmentos, permutaciones de atributos y reemplazo por sinónimos) y la integración explícita de diccionarios de conocimiento del dominio directamente en las capas de entrenamiento, el modelo aprendió a inferir la equivalencia semántica incluso cuando los atributos nominales diferían diametralmente.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Evaluaciones rigurosas sobre conjuntos de datos desafiantes revelaron que DITTO superaba ampliamente a DeepMatcher, logrando mejoras en el índice F1 de hasta un 10,8% en taxonomías complejas.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Investigaciones paralelas han extendido estos conceptos mediante aprendizaje contrastivo, forzando a los tensores a separar matemáticamente las etiquetas semánticamente discordantes (por ejemplo, "agua mineral" frente a "refresco") mientras agrupan las variaciones de una misma familia en espacios euclidianos densos.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Adicionalmente, el análisis asimétrico enfocado en el comercio electrónico ha demostrado que la introducción de técnicas de atención con ruido inducido (LEA) en codificadores cruzados estabiliza dramáticamente el rendimiento del cruce de catálogos cuando el contexto se limita a fragmentos de texto cortos.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la estructuración del Trabajo de Fin de Máster, la asimilación de la filosofía arquitectónica de DITTO es imperativa, aunque su implementación monolítica resulte inasumible computacionalmente. El TFM debe emular el preprocesamiento avanzado de DITTO —específicamente, la inyección formal de las reglas y excepciones del FSE+ (como el identificador regional de la Región de Murcia para la excepción del agua potable) como texto estructurado de contexto— antes de delegar la vectorización matemática a redes más veloces y frugales, como los modelos subword de fastText o las proyecciones destiladas de Model2Vec.</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Fuzzy matching, record linkage y herramientas Python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arquitectura resiliente no puede depender exclusivamente del aprendizaje profundo probabilístico. La capacidad de detectar similitudes difusas de bajo nivel computacional mediante distancias de edición y métricas de solapamiento léxico (Fuzzy Matching) es esencial, especialmente para ejecutar funciones de particionado de datos (blocking) previas a la inferencia compleja, o para resolver variaciones tipográficas leves que no alteran la semántica raíz.</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selección de la herramienta computacional adecuada en el entorno Python es crítica para la eficiencia del proceso. Un análisis empírico exhaustivo evaluó el rendimiento comparativo de las bibliotecas FuzzyWuzzy, RapidFuzz, Difflib, Levenshtein y Jellyfish frente a un corpus multilingüe estandarizado de cincuenta mil casos de prueba de emparejamiento textual asimétrico.</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Los hallazgos de este experimento consolidan una jerarquía clara para su integración en sistemas de producción:</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La biblioteca </w:t>
      </w:r>
      <w:r w:rsidDel="00000000" w:rsidR="00000000" w:rsidRPr="00000000">
        <w:rPr>
          <w:rFonts w:ascii="Google Sans" w:cs="Google Sans" w:eastAsia="Google Sans" w:hAnsi="Google Sans"/>
          <w:b w:val="1"/>
          <w:bCs w:val="1"/>
          <w:color w:val="1f1f1f"/>
          <w:rtl w:val="0"/>
        </w:rPr>
        <w:t xml:space="preserve">RapidFuzz</w:t>
      </w:r>
      <w:r w:rsidDel="00000000" w:rsidR="00000000" w:rsidRPr="00000000">
        <w:rPr>
          <w:rFonts w:ascii="Google Sans" w:cs="Google Sans" w:eastAsia="Google Sans" w:hAnsi="Google Sans"/>
          <w:color w:val="1f1f1f"/>
          <w:rtl w:val="0"/>
        </w:rPr>
        <w:t xml:space="preserve"> se erigió como la solución de rendimiento óptimo. Respaldada por un núcleo programado en C++ y optimizaciones de hardware para instrucciones múltiples sobre un solo flujo de datos (SIMD), RapidFuzz procesó los volúmenes textuales a una velocidad un 40% superior a sus competidores.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Su eficiencia en la gestión de memoria RAM es sobresaliente, estabilizando el consumo en apenas 20 megabytes para cargas de trabajo que colapsaron a Difflib (excediendo los 200 megabytes), manteniendo simultáneamente una precisión general del 97,50% y descollando excepcionalmente (98,5% de precisión) en la corrección de matrices donde faltaban caracteres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un error ubicuo en las impresoras térmicas de los supermercados.</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 contraposición, </w:t>
      </w:r>
      <w:r w:rsidDel="00000000" w:rsidR="00000000" w:rsidRPr="00000000">
        <w:rPr>
          <w:rFonts w:ascii="Google Sans" w:cs="Google Sans" w:eastAsia="Google Sans" w:hAnsi="Google Sans"/>
          <w:b w:val="1"/>
          <w:bCs w:val="1"/>
          <w:color w:val="1f1f1f"/>
          <w:rtl w:val="0"/>
        </w:rPr>
        <w:t xml:space="preserve">FuzzyWuzzy</w:t>
      </w:r>
      <w:r w:rsidDel="00000000" w:rsidR="00000000" w:rsidRPr="00000000">
        <w:rPr>
          <w:rFonts w:ascii="Google Sans" w:cs="Google Sans" w:eastAsia="Google Sans" w:hAnsi="Google Sans"/>
          <w:color w:val="1f1f1f"/>
          <w:rtl w:val="0"/>
        </w:rPr>
        <w:t xml:space="preserve">, aunque es un estándar de facto en los tutoriales de ciencia de datos, evidenció latencias prohibitivas y una acusada degradación del rendimiento al escalar el conjunto de datos. No obstante, demostró ventajas empíricas en nichos concretos, alcanzando la cúspide de precisión (97,8%) en escenarios de transposiciones severas de palabras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un fenómeno común cuando la caja registradora invierte el sustantivo y el modificador de un producto (e.g., "Leche Desnatada" vs "Desnatada Leche").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del sistema integral para el TFM exige, en base a la literatura evaluada, que se instancie una fase inicial de bloqueo léxico determinista mediante RapidFuzz. Al procesar el Fichero 03, esta capa inicial puede sancionar instantáneamente los artículos que exhiban un solapamiento léxico superior al 95% respecto a la base de datos de exclusiones o permisos explícitos. Este enfoque bifásico filtra gran parte de la entropía de los datos, reservando la capacidad de cómputo estocástica de fastText o MiniLM únicamente para aquellas observaciones ambiguas que caigan en un umbral de confianza gris (REVISAR), maximizando así la economía computacional exigida por la infraestructura de Google Colab.</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Trabajos universitarios (TFMs, tesis, repositorios institucionales)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del repositorio de literatura doctoral confirma la vigencia y la pertinencia metodológica de la investigación propuesta. Destaca la tesis defendida por Anggoro (2026) en la Universidad de Cardiff, cuya investigación exploró la automatización de la clasificación de productos para la documentación del comercio internacional.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aduanas y los sistemas transfronterizos sufren de la misma asimetría léxica que el sector minorista de bienes de consumo masivo: facturas aduaneras repletas de descripciones truncadas, errores ortográficos, abreviaturas logísticas incomprensibles y atributos morfológicos mixtos, que deben mapearse a una taxonomía estrictamente regulada (el Sistema Armonizado o HS). Los resultados empíricos derivados de esta investigación doctoral son directamente extrapolables a los desafíos del Programa Básico del FSE+:</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Superioridad de los modelos ligeros:</w:t>
      </w:r>
      <w:r w:rsidDel="00000000" w:rsidR="00000000" w:rsidRPr="00000000">
        <w:rPr>
          <w:rFonts w:ascii="Google Sans" w:cs="Google Sans" w:eastAsia="Google Sans" w:hAnsi="Google Sans"/>
          <w:color w:val="1f1f1f"/>
          <w:rtl w:val="0"/>
        </w:rPr>
        <w:t xml:space="preserve"> Anggoro constató que las arquitecturas basadas en transformadores destilados, específicamente </w:t>
      </w:r>
      <w:r w:rsidDel="00000000" w:rsidR="00000000" w:rsidRPr="00000000">
        <w:rPr>
          <w:rFonts w:ascii="Google Sans" w:cs="Google Sans" w:eastAsia="Google Sans" w:hAnsi="Google Sans"/>
          <w:i w:val="1"/>
          <w:iCs w:val="1"/>
          <w:color w:val="1f1f1f"/>
          <w:rtl w:val="0"/>
        </w:rPr>
        <w:t xml:space="preserve">DistilBERT</w:t>
      </w:r>
      <w:r w:rsidDel="00000000" w:rsidR="00000000" w:rsidRPr="00000000">
        <w:rPr>
          <w:rFonts w:ascii="Google Sans" w:cs="Google Sans" w:eastAsia="Google Sans" w:hAnsi="Google Sans"/>
          <w:color w:val="1f1f1f"/>
          <w:rtl w:val="0"/>
        </w:rPr>
        <w:t xml:space="preserve"> (un modelo que comparte la topología racionalizada de </w:t>
      </w:r>
      <w:r w:rsidDel="00000000" w:rsidR="00000000" w:rsidRPr="00000000">
        <w:rPr>
          <w:rFonts w:ascii="Google Sans" w:cs="Google Sans" w:eastAsia="Google Sans" w:hAnsi="Google Sans"/>
          <w:i w:val="1"/>
          <w:iCs w:val="1"/>
          <w:color w:val="1f1f1f"/>
          <w:rtl w:val="0"/>
        </w:rPr>
        <w:t xml:space="preserve">MiniLM</w:t>
      </w:r>
      <w:r w:rsidDel="00000000" w:rsidR="00000000" w:rsidRPr="00000000">
        <w:rPr>
          <w:rFonts w:ascii="Google Sans" w:cs="Google Sans" w:eastAsia="Google Sans" w:hAnsi="Google Sans"/>
          <w:color w:val="1f1f1f"/>
          <w:rtl w:val="0"/>
        </w:rPr>
        <w:t xml:space="preserve">), superaron categóricamente a las aproximaciones tradicionales de bolsas de palabras en la tolerancia a errores topográficos severos y vocabulario anómalo.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 arquitectura destilada ofreció una convergencia acelerada y tiempos de inferencia reducidos, sustentando la premisa del Sistema 3 del presente TFM.</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Mitigación de la anisotropía geométrica:</w:t>
      </w:r>
      <w:r w:rsidDel="00000000" w:rsidR="00000000" w:rsidRPr="00000000">
        <w:rPr>
          <w:rFonts w:ascii="Google Sans" w:cs="Google Sans" w:eastAsia="Google Sans" w:hAnsi="Google Sans"/>
          <w:color w:val="1f1f1f"/>
          <w:rtl w:val="0"/>
        </w:rPr>
        <w:t xml:space="preserve"> El investigador evidenció que los espacios vectoriales generados por transformadores a menudo sufren de anisotropía, concentrando los vectores en un subespacio limitado, dificultando la clasificación por similitud cosenoidal de clases cercanas. La tesis resolvió esta barrera aplicando aprendizaje contrastivo supervisado sobre redes neuronales siamesas, reestructurando la topología del espacio latente para alejar semánticamente familias disímiles.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 peligro del sobre-preprocesamiento:</w:t>
      </w:r>
      <w:r w:rsidDel="00000000" w:rsidR="00000000" w:rsidRPr="00000000">
        <w:rPr>
          <w:rFonts w:ascii="Google Sans" w:cs="Google Sans" w:eastAsia="Google Sans" w:hAnsi="Google Sans"/>
          <w:color w:val="1f1f1f"/>
          <w:rtl w:val="0"/>
        </w:rPr>
        <w:t xml:space="preserve"> En un hallazgo revelador y contrario a la intuición heurística convencional, la investigación demostró que la aplicación de métodos de preprocesamiento hiperagresivos para limpiar "excesivamente" el texto asimétrico degradó la precisión predictiva de los modelos profundos.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Los errores no gramaticales, los acrónimos fusionados y la puntuación caótica encierran un alto valor predictivo silente que los modelos basados en sub-palabras y atención cruzada aprovechan para clasificar; depurarlos equivale a eliminar información de señal.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Estos descubrimientos universitarios ratifican empíricamente el pilar central del TFM: las arquitecturas de inteligencia artificial ligeras, cuando se diseñan para respetar la asimetría original de los datos en conjunción con métricas contrastivas formales, son capaces de sustituir auditorías manuales agotadoras con niveles de precisión estadística conformes a regulaciones institucionales severas.</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Soluciones existentes en el mercado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mercado global de software empresarial para el Procesamiento Inteligente de Documentos (Intelligent Document Processing, IDP) y la Gestión de Datos Maestros (Master Data Management, MDM) ha experimentado una evolución vertiginosa impulsada por los modelos de aprendizaje automático multimodal. No obstante, una inmersión analítica en el espectro de soluciones B2B actuales revela que las arquitecturas comerciales preempaquetadas están orientadas a la transcripción logística de la cadena de suministro corporativa, dejando un abismo funcional respecto a las exigencias de auditoría regulatoria </w:t>
      </w:r>
      <w:r w:rsidDel="00000000" w:rsidR="00000000" w:rsidRPr="00000000">
        <w:rPr>
          <w:rFonts w:ascii="Google Sans" w:cs="Google Sans" w:eastAsia="Google Sans" w:hAnsi="Google Sans"/>
          <w:i w:val="1"/>
          <w:iCs w:val="1"/>
          <w:color w:val="1f1f1f"/>
          <w:rtl w:val="0"/>
        </w:rPr>
        <w:t xml:space="preserve">zero-shot</w:t>
      </w:r>
      <w:r w:rsidDel="00000000" w:rsidR="00000000" w:rsidRPr="00000000">
        <w:rPr>
          <w:rFonts w:ascii="Google Sans" w:cs="Google Sans" w:eastAsia="Google Sans" w:hAnsi="Google Sans"/>
          <w:color w:val="1f1f1f"/>
          <w:rtl w:val="0"/>
        </w:rPr>
        <w:t xml:space="preserve"> que requiere la fiscalización de subsidios sociales.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Rossum AI</w:t>
      </w:r>
      <w:r w:rsidDel="00000000" w:rsidR="00000000" w:rsidRPr="00000000">
        <w:rPr>
          <w:rFonts w:ascii="Google Sans" w:cs="Google Sans" w:eastAsia="Google Sans" w:hAnsi="Google Sans"/>
          <w:color w:val="1f1f1f"/>
          <w:rtl w:val="0"/>
        </w:rPr>
        <w:t xml:space="preserve">: Esta plataforma ha trascendido el paradigma clásico del Reconocimiento Óptico de Caracteres (OCR) incorporando algoritmos profundos de Procesamiento de Lenguaje Natural (NLP). Las capacidades analíticas de Rossum detectan automáticamente más de treinta entidades semánticas estructurales (códigos impositivos, líneas de factura individuales, totales) sin requerir el entrenamiento en plantillas posicionales, asimilando eficazmente el ruido inherente a los formatos asimétricos.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Su fortaleza yace en la digitalización dinámica de campos estáticos hacia ecosistemas de planificación de recursos (ERP). Sin embargo, su debilidad radica en que el modelo de negocio asume una estructura transaccional estándar; no incluye motores hermenéuticos preconfigurados capaces de ingestar un recibo truncado y clasificar su elegibilidad basándose en excepciones legales geolocalizadas sin un ciclo de entrenamiento supervisado arduo y costoso.</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HighRadius</w:t>
      </w:r>
      <w:r w:rsidDel="00000000" w:rsidR="00000000" w:rsidRPr="00000000">
        <w:rPr>
          <w:rFonts w:ascii="Google Sans" w:cs="Google Sans" w:eastAsia="Google Sans" w:hAnsi="Google Sans"/>
          <w:color w:val="1f1f1f"/>
          <w:rtl w:val="0"/>
        </w:rPr>
        <w:t xml:space="preserve">: Esta solución ejemplifica el estado del arte en Inteligencia Artificial Agéntica para la orquestación financiera. Su plataforma asume autónomamente el ciclo de validación a tres bandas (3-Way Matching), conciliando las líneas de factura contra las recepciones de mercancías y las órdenes de compra con índices de coincidencia automatizada superiores al 90%.</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Sus algoritmos son formidables para rastrear variaciones de precios o tributos. La debilidad en el contexto del TFM es su asunción dogmática de que existe una codificación maestra identificable (SKU compartido) entre el comprador corporativo y el vendedor. En el programa de la tarjeta monedero, el usuario final adquiere productos heterogéneos en una multitud de comercios sin un diccionario unificado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inutilizando las capacidades de trazabilidad matricial de HighRadius.</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Affinda y Soluciones Documentales Especializadas</w:t>
      </w:r>
      <w:r w:rsidDel="00000000" w:rsidR="00000000" w:rsidRPr="00000000">
        <w:rPr>
          <w:rFonts w:ascii="Google Sans" w:cs="Google Sans" w:eastAsia="Google Sans" w:hAnsi="Google Sans"/>
          <w:color w:val="1f1f1f"/>
          <w:rtl w:val="0"/>
        </w:rPr>
        <w:t xml:space="preserve">: Operan modelos refinados para la extracción y estructuración multilingüe de estados financieros e historiales clínicos, extrayendo subtotales, descripciones y referencias cruzadas mediante técnicas de visión por computadora avanzada y ontologías de lenguaje.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Sus métricas de captura son estelares, pero su objetivo final es la extracción fidedigna del dato, no la emisión de un veredicto normativo de "Permitido / Rechazado" basado en análisis textual asimétrico contra taxonomías exógenas gubernamentales.</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Proveedores Hyperscale (AWS, Microsoft Azure Document Intelligence, Google Document AI)</w:t>
      </w:r>
      <w:r w:rsidDel="00000000" w:rsidR="00000000" w:rsidRPr="00000000">
        <w:rPr>
          <w:rFonts w:ascii="Google Sans" w:cs="Google Sans" w:eastAsia="Google Sans" w:hAnsi="Google Sans"/>
          <w:color w:val="1f1f1f"/>
          <w:rtl w:val="0"/>
        </w:rPr>
        <w:t xml:space="preserve">: La computación en la nube ofrece las API modulares de visión por computadora más accesibles y ubicuas del ecosistema. Proporcionan detecciones inmaculadas de la topología tabular de las facturas.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No obstante, arquitectos de software empresarial enfatizan que la extracción de texto estructurado representa apenas el vestíbulo del proceso; servicios como Azure carecen intrínsecamente de capacidades cognitivas de vinculación ontológica para resolver entidades cruzadas (</w:t>
      </w:r>
      <w:r w:rsidDel="00000000" w:rsidR="00000000" w:rsidRPr="00000000">
        <w:rPr>
          <w:rFonts w:ascii="Google Sans" w:cs="Google Sans" w:eastAsia="Google Sans" w:hAnsi="Google Sans"/>
          <w:i w:val="1"/>
          <w:iCs w:val="1"/>
          <w:color w:val="1f1f1f"/>
          <w:rtl w:val="0"/>
        </w:rPr>
        <w:t xml:space="preserve">Entity Resolution</w:t>
      </w:r>
      <w:r w:rsidDel="00000000" w:rsidR="00000000" w:rsidRPr="00000000">
        <w:rPr>
          <w:rFonts w:ascii="Google Sans" w:cs="Google Sans" w:eastAsia="Google Sans" w:hAnsi="Google Sans"/>
          <w:color w:val="1f1f1f"/>
          <w:rtl w:val="0"/>
        </w:rPr>
        <w:t xml:space="preserve">) de manera agnóstica sin acoplar arquitecturas accesorias entrenadas a medida y externalizadas.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Sistemas de Orquestación Corporativa (UiPath, SAP Vendor Invoice Management, OpenText)</w:t>
      </w:r>
      <w:r w:rsidDel="00000000" w:rsidR="00000000" w:rsidRPr="00000000">
        <w:rPr>
          <w:rFonts w:ascii="Google Sans" w:cs="Google Sans" w:eastAsia="Google Sans" w:hAnsi="Google Sans"/>
          <w:color w:val="1f1f1f"/>
          <w:rtl w:val="0"/>
        </w:rPr>
        <w:t xml:space="preserve">: Estos colosos del ecosistema corporativo proveen plataformas integrales que amalgaman la digitalización cognitiva con motores de enrutamiento basados en reglas, roles y acciones de negocio, encapsulando flujos estructurados de </w:t>
      </w:r>
      <w:r w:rsidDel="00000000" w:rsidR="00000000" w:rsidRPr="00000000">
        <w:rPr>
          <w:rFonts w:ascii="Google Sans" w:cs="Google Sans" w:eastAsia="Google Sans" w:hAnsi="Google Sans"/>
          <w:i w:val="1"/>
          <w:iCs w:val="1"/>
          <w:color w:val="1f1f1f"/>
          <w:rtl w:val="0"/>
        </w:rPr>
        <w:t xml:space="preserve">Human-in-the-Loop</w:t>
      </w:r>
      <w:r w:rsidDel="00000000" w:rsidR="00000000" w:rsidRPr="00000000">
        <w:rPr>
          <w:rFonts w:ascii="Google Sans" w:cs="Google Sans" w:eastAsia="Google Sans" w:hAnsi="Google Sans"/>
          <w:color w:val="1f1f1f"/>
          <w:rtl w:val="0"/>
        </w:rPr>
        <w:t xml:space="preserve"> (HITL) para derivar discrepancias analíticas al auditor humano pertinente.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Representan la quimera de la trazabilidad procesal, pero acarrean una desventaja ineludible: sus esquemas de licenciamiento exorbitantes, la rigidez masiva de su implementación y sus exigencias de infraestructura on-premise o cloud de alta disponibilidad los descalifican categóricamente para el despliegue ágil, frugal y reproducible dictaminado por los requerimientos del entorno de Google Colab especificados en el TFM.</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Grado de comparabilidad y hueco científico-aplicativo:</w:t>
      </w:r>
      <w:r w:rsidDel="00000000" w:rsidR="00000000" w:rsidRPr="00000000">
        <w:rPr>
          <w:rFonts w:ascii="Google Sans" w:cs="Google Sans" w:eastAsia="Google Sans" w:hAnsi="Google Sans"/>
          <w:color w:val="1f1f1f"/>
          <w:rtl w:val="0"/>
        </w:rPr>
        <w:t xml:space="preserve"> El contraste analítico evidencia una falla del mercado. El sector corporativo ha monopolizado la resolución de facturas enfocándose en solventar errores logísticos e impositivos de la cadena de suministro B2B. Ninguna plataforma proporciona un marco lógico ligero de evaluación de gobernanza (Compliance) sobre textos minoristas libres y no esquematizados aplicable al gasto social.</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El TFM, por ende, goza de un amplio horizonte científico y aplicado: desarrollar una heurística determinista y de bajo peso que ejecute </w:t>
      </w:r>
      <w:r w:rsidDel="00000000" w:rsidR="00000000" w:rsidRPr="00000000">
        <w:rPr>
          <w:rFonts w:ascii="Google Sans" w:cs="Google Sans" w:eastAsia="Google Sans" w:hAnsi="Google Sans"/>
          <w:i w:val="1"/>
          <w:iCs w:val="1"/>
          <w:color w:val="1f1f1f"/>
          <w:rtl w:val="0"/>
        </w:rPr>
        <w:t xml:space="preserve">Product Matching</w:t>
      </w:r>
      <w:r w:rsidDel="00000000" w:rsidR="00000000" w:rsidRPr="00000000">
        <w:rPr>
          <w:rFonts w:ascii="Google Sans" w:cs="Google Sans" w:eastAsia="Google Sans" w:hAnsi="Google Sans"/>
          <w:color w:val="1f1f1f"/>
          <w:rtl w:val="0"/>
        </w:rPr>
        <w:t xml:space="preserve"> contra un grafo de restricciones gubernamentales, democratizando la auditoría masiva mediante la superposición de clasificadores ágiles (fastText o MiniLM destilado) y métricas difusas en infraestructuras de código abierto sin coste operativo.</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Comparativa profunda entre los 3 sistemas candidatos del TFM</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evaluación de las arquitecturas candidatas se sustenta en una matriz de evaluación multidimensional que confronta la base empírica de los algoritmos con las restricciones drásticas impuestas por el entorno computacional de despliegue (Google Colab capa gratuita) y las regulaciones jurídicas de la Región de Murcia.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Parámetro Evaluado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Sistema 1 (TF-IDF + Clasificadores Lineales + Reglas)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Sistema 2 (fastText supervisado + Subwords + Reglas)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Sistema 3 (Sentence-Transformers MiniLM + kNN / Reglas)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Arquitectura Conceptual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Representación ortogonal dispersa de </w:t>
            </w:r>
            <w:r w:rsidDel="00000000" w:rsidR="00000000" w:rsidRPr="00000000">
              <w:rPr>
                <w:rFonts w:ascii="Google Sans" w:cs="Google Sans" w:eastAsia="Google Sans" w:hAnsi="Google Sans"/>
                <w:i w:val="1"/>
                <w:iCs w:val="1"/>
                <w:color w:val="1f1f1f"/>
                <w:shd w:fill="auto" w:val="clear"/>
                <w:rtl w:val="0"/>
              </w:rPr>
              <w:t xml:space="preserve">N-gramas</w:t>
            </w:r>
            <w:r w:rsidDel="00000000" w:rsidR="00000000" w:rsidRPr="00000000">
              <w:rPr>
                <w:rFonts w:ascii="Google Sans" w:cs="Google Sans" w:eastAsia="Google Sans" w:hAnsi="Google Sans"/>
                <w:color w:val="1f1f1f"/>
                <w:shd w:fill="auto" w:val="clear"/>
                <w:rtl w:val="0"/>
              </w:rPr>
              <w:t xml:space="preserve"> de palabras; optimización iterativa lineal (SVM/LogReg).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Representación estática densa basada en morfología subyacente de sub-palabras (</w:t>
            </w:r>
            <w:r w:rsidDel="00000000" w:rsidR="00000000" w:rsidRPr="00000000">
              <w:rPr>
                <w:rFonts w:ascii="Google Sans" w:cs="Google Sans" w:eastAsia="Google Sans" w:hAnsi="Google Sans"/>
                <w:i w:val="1"/>
                <w:iCs w:val="1"/>
                <w:color w:val="1f1f1f"/>
                <w:shd w:fill="auto" w:val="clear"/>
                <w:rtl w:val="0"/>
              </w:rPr>
              <w:t xml:space="preserve">n-gramas de caracteres</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Representación densa dinámica (</w:t>
            </w:r>
            <w:r w:rsidDel="00000000" w:rsidR="00000000" w:rsidRPr="00000000">
              <w:rPr>
                <w:rFonts w:ascii="Google Sans" w:cs="Google Sans" w:eastAsia="Google Sans" w:hAnsi="Google Sans"/>
                <w:i w:val="1"/>
                <w:iCs w:val="1"/>
                <w:color w:val="1f1f1f"/>
                <w:shd w:fill="auto" w:val="clear"/>
                <w:rtl w:val="0"/>
              </w:rPr>
              <w:t xml:space="preserve">Embeddings</w:t>
            </w:r>
            <w:r w:rsidDel="00000000" w:rsidR="00000000" w:rsidRPr="00000000">
              <w:rPr>
                <w:rFonts w:ascii="Google Sans" w:cs="Google Sans" w:eastAsia="Google Sans" w:hAnsi="Google Sans"/>
                <w:color w:val="1f1f1f"/>
                <w:shd w:fill="auto" w:val="clear"/>
                <w:rtl w:val="0"/>
              </w:rPr>
              <w:t xml:space="preserve"> semánticos profundos mediante auto-atención multicapa).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Resiliencia ante ruido, OOV y asimetría extrema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Deficiente.</w:t>
            </w:r>
            <w:r w:rsidDel="00000000" w:rsidR="00000000" w:rsidRPr="00000000">
              <w:rPr>
                <w:rFonts w:ascii="Google Sans" w:cs="Google Sans" w:eastAsia="Google Sans" w:hAnsi="Google Sans"/>
                <w:color w:val="1f1f1f"/>
                <w:shd w:fill="auto" w:val="clear"/>
                <w:rtl w:val="0"/>
              </w:rPr>
              <w:t xml:space="preserve"> Extraordinariamente frágil frente a abreviaturas logísticas y variantes fuera del diccionario preentrenado. Requiere </w:t>
            </w:r>
            <w:r w:rsidDel="00000000" w:rsidR="00000000" w:rsidRPr="00000000">
              <w:rPr>
                <w:rFonts w:ascii="Google Sans" w:cs="Google Sans" w:eastAsia="Google Sans" w:hAnsi="Google Sans"/>
                <w:i w:val="1"/>
                <w:iCs w:val="1"/>
                <w:color w:val="1f1f1f"/>
                <w:shd w:fill="auto" w:val="clear"/>
                <w:rtl w:val="0"/>
              </w:rPr>
              <w:t xml:space="preserve">stemming</w:t>
            </w:r>
            <w:r w:rsidDel="00000000" w:rsidR="00000000" w:rsidRPr="00000000">
              <w:rPr>
                <w:rFonts w:ascii="Google Sans" w:cs="Google Sans" w:eastAsia="Google Sans" w:hAnsi="Google Sans"/>
                <w:color w:val="1f1f1f"/>
                <w:shd w:fill="auto" w:val="clear"/>
                <w:rtl w:val="0"/>
              </w:rPr>
              <w:t xml:space="preserve"> intensivo.</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Excepcional.</w:t>
            </w:r>
            <w:r w:rsidDel="00000000" w:rsidR="00000000" w:rsidRPr="00000000">
              <w:rPr>
                <w:rFonts w:ascii="Google Sans" w:cs="Google Sans" w:eastAsia="Google Sans" w:hAnsi="Google Sans"/>
                <w:color w:val="1f1f1f"/>
                <w:shd w:fill="auto" w:val="clear"/>
                <w:rtl w:val="0"/>
              </w:rPr>
              <w:t xml:space="preserve"> Al asimilar caracteres agrupados, detecta coincidencias morfológicas profundas en tickets truncados sistemáticamente.</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Alta.</w:t>
            </w:r>
            <w:r w:rsidDel="00000000" w:rsidR="00000000" w:rsidRPr="00000000">
              <w:rPr>
                <w:rFonts w:ascii="Google Sans" w:cs="Google Sans" w:eastAsia="Google Sans" w:hAnsi="Google Sans"/>
                <w:color w:val="1f1f1f"/>
                <w:shd w:fill="auto" w:val="clear"/>
                <w:rtl w:val="0"/>
              </w:rPr>
              <w:t xml:space="preserve"> Tolerante gracias a tokenización subléxica (SentencePiece), aunque nombres comerciales anómalos o muy crípticos pueden inducir a la desorientación focal del modelo.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Comprensión Semántica / Polisemia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Nula.</w:t>
            </w:r>
            <w:r w:rsidDel="00000000" w:rsidR="00000000" w:rsidRPr="00000000">
              <w:rPr>
                <w:rFonts w:ascii="Google Sans" w:cs="Google Sans" w:eastAsia="Google Sans" w:hAnsi="Google Sans"/>
                <w:color w:val="1f1f1f"/>
                <w:shd w:fill="auto" w:val="clear"/>
                <w:rtl w:val="0"/>
              </w:rPr>
              <w:t xml:space="preserve"> Explotación algorítmica puramente estocástica basada en frecuencias inversas.</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Media.</w:t>
            </w:r>
            <w:r w:rsidDel="00000000" w:rsidR="00000000" w:rsidRPr="00000000">
              <w:rPr>
                <w:rFonts w:ascii="Google Sans" w:cs="Google Sans" w:eastAsia="Google Sans" w:hAnsi="Google Sans"/>
                <w:color w:val="1f1f1f"/>
                <w:shd w:fill="auto" w:val="clear"/>
                <w:rtl w:val="0"/>
              </w:rPr>
              <w:t xml:space="preserve"> Captura la intencionalidad léxica local; excelente mapeador estadístico para secuencias nominales simples.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Máxima.</w:t>
            </w:r>
            <w:r w:rsidDel="00000000" w:rsidR="00000000" w:rsidRPr="00000000">
              <w:rPr>
                <w:rFonts w:ascii="Google Sans" w:cs="Google Sans" w:eastAsia="Google Sans" w:hAnsi="Google Sans"/>
                <w:color w:val="1f1f1f"/>
                <w:shd w:fill="auto" w:val="clear"/>
                <w:rtl w:val="0"/>
              </w:rPr>
              <w:t xml:space="preserve"> Captura el contexto de largo alcance, discriminando la polisemia y alineando descripciones comerciales divergentes con la taxonomía regulatoria.</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Desempeño Métrico en Literatura Relevante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~85,0% - 92,7% Precisión General (sujeto a limpieza extrema del corpus y eliminación manual de atípicos).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~90,0% - 94,0% F1-Score en clasificación de textos asimétricos y micro-textos de redes sociales.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~94,0% - 97,0% MTEB / Precisión en tareas de resolución semántica y cruce de entidades complejas.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Latencia de Inferencia (Hardware CPU estándar)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Óptima.</w:t>
            </w:r>
            <w:r w:rsidDel="00000000" w:rsidR="00000000" w:rsidRPr="00000000">
              <w:rPr>
                <w:rFonts w:ascii="Google Sans" w:cs="Google Sans" w:eastAsia="Google Sans" w:hAnsi="Google Sans"/>
                <w:color w:val="1f1f1f"/>
                <w:shd w:fill="auto" w:val="clear"/>
                <w:rtl w:val="0"/>
              </w:rPr>
              <w:t xml:space="preserve"> Cálculos matriciales dispersos permiten procesar decenas de miles de instancias en márgenes de milisegundos.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Sobresaliente.</w:t>
            </w:r>
            <w:r w:rsidDel="00000000" w:rsidR="00000000" w:rsidRPr="00000000">
              <w:rPr>
                <w:rFonts w:ascii="Google Sans" w:cs="Google Sans" w:eastAsia="Google Sans" w:hAnsi="Google Sans"/>
                <w:color w:val="1f1f1f"/>
                <w:shd w:fill="auto" w:val="clear"/>
                <w:rtl w:val="0"/>
              </w:rPr>
              <w:t xml:space="preserve"> Arquitectura de clasificador jerárquico diseñada matemáticamente para inferencias ultra-rápidas.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Marginal a Excepcional.</w:t>
            </w:r>
            <w:r w:rsidDel="00000000" w:rsidR="00000000" w:rsidRPr="00000000">
              <w:rPr>
                <w:rFonts w:ascii="Google Sans" w:cs="Google Sans" w:eastAsia="Google Sans" w:hAnsi="Google Sans"/>
                <w:color w:val="1f1f1f"/>
                <w:shd w:fill="auto" w:val="clear"/>
                <w:rtl w:val="0"/>
              </w:rPr>
              <w:t xml:space="preserve"> Lento si se ejecuta el modelo SBERT puro (~7.500 sentencias/s). Ultrarrápido si se comprime mediante destilación Model2Vec (500x mejora).</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Consumo Dinámico de Memoria 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Inferior a 50 Megabytes (Asumiendo técnicas de modelado disperso avanzado y librerías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Muy restringido. Altamente configurable mediante umbrales de reducción de dimensiones y cuantización.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Sensible. El modelo base exige ~100-150 Megabytes continuos; la versión destilada Model2Vec comprime el espacio a ~32 Megabytes.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Resistencia a Inestabilidad de Google Colab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Inmune.</w:t>
            </w:r>
            <w:r w:rsidDel="00000000" w:rsidR="00000000" w:rsidRPr="00000000">
              <w:rPr>
                <w:rFonts w:ascii="Google Sans" w:cs="Google Sans" w:eastAsia="Google Sans" w:hAnsi="Google Sans"/>
                <w:color w:val="1f1f1f"/>
                <w:shd w:fill="auto" w:val="clear"/>
                <w:rtl w:val="0"/>
              </w:rPr>
              <w:t xml:space="preserve"> La ausencia de GPU o desconexiones temporales del runtime no fractura el modelo de inferencia.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Resistente.</w:t>
            </w:r>
            <w:r w:rsidDel="00000000" w:rsidR="00000000" w:rsidRPr="00000000">
              <w:rPr>
                <w:rFonts w:ascii="Google Sans" w:cs="Google Sans" w:eastAsia="Google Sans" w:hAnsi="Google Sans"/>
                <w:color w:val="1f1f1f"/>
                <w:shd w:fill="auto" w:val="clear"/>
                <w:rtl w:val="0"/>
              </w:rPr>
              <w:t xml:space="preserve"> Capacidad de entrenar en el entorno CPU básico en tiempos triviales (&lt; 5 minutos por época masiva).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Vulnerable.</w:t>
            </w:r>
            <w:r w:rsidDel="00000000" w:rsidR="00000000" w:rsidRPr="00000000">
              <w:rPr>
                <w:rFonts w:ascii="Google Sans" w:cs="Google Sans" w:eastAsia="Google Sans" w:hAnsi="Google Sans"/>
                <w:color w:val="1f1f1f"/>
                <w:shd w:fill="auto" w:val="clear"/>
                <w:rtl w:val="0"/>
              </w:rPr>
              <w:t xml:space="preserve"> El entrenamiento fino (</w:t>
            </w:r>
            <w:r w:rsidDel="00000000" w:rsidR="00000000" w:rsidRPr="00000000">
              <w:rPr>
                <w:rFonts w:ascii="Google Sans" w:cs="Google Sans" w:eastAsia="Google Sans" w:hAnsi="Google Sans"/>
                <w:i w:val="1"/>
                <w:iCs w:val="1"/>
                <w:color w:val="1f1f1f"/>
                <w:shd w:fill="auto" w:val="clear"/>
                <w:rtl w:val="0"/>
              </w:rPr>
              <w:t xml:space="preserve">fine-tuning</w:t>
            </w:r>
            <w:r w:rsidDel="00000000" w:rsidR="00000000" w:rsidRPr="00000000">
              <w:rPr>
                <w:rFonts w:ascii="Google Sans" w:cs="Google Sans" w:eastAsia="Google Sans" w:hAnsi="Google Sans"/>
                <w:color w:val="1f1f1f"/>
                <w:shd w:fill="auto" w:val="clear"/>
                <w:rtl w:val="0"/>
              </w:rPr>
              <w:t xml:space="preserve">) del Transformer se expone a bloqueos OOM (Out Of Memory) y desconexiones de TPU/GPU no garantizadas.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Alineación Normativa (</w:t>
            </w:r>
            <w:r w:rsidDel="00000000" w:rsidR="00000000" w:rsidRPr="00000000">
              <w:rPr>
                <w:rFonts w:ascii="Google Sans" w:cs="Google Sans" w:eastAsia="Google Sans" w:hAnsi="Google Sans"/>
                <w:b w:val="1"/>
                <w:bCs w:val="1"/>
                <w:i w:val="1"/>
                <w:iCs w:val="1"/>
                <w:color w:val="1f1f1f"/>
                <w:shd w:fill="auto" w:val="clear"/>
                <w:rtl w:val="0"/>
              </w:rPr>
              <w:t xml:space="preserve">Compliance</w:t>
            </w:r>
            <w:r w:rsidDel="00000000" w:rsidR="00000000" w:rsidRPr="00000000">
              <w:rPr>
                <w:rFonts w:ascii="Google Sans" w:cs="Google Sans" w:eastAsia="Google Sans" w:hAnsi="Google Sans"/>
                <w:b w:val="1"/>
                <w:bCs w:val="1"/>
                <w:color w:val="1f1f1f"/>
                <w:shd w:fill="auto" w:val="clear"/>
                <w:rtl w:val="0"/>
              </w:rPr>
              <w:t xml:space="preserve"> / Transparencia)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Transparencia matemática absoluta. Los ponderadores de la Regresión Logística demuestran irrefutablemente la influencia de cada término.</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Transparencia oscurecida pero gestionable mediante el cálculo diferencial estático de las activaciones ponderadas.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Caja Negra. Exigiría acoplar capas adicionales de explicabilidad (e.g., LIME, SHAP) para documentar el peso de atención ante una auditoría del FSE+.</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Integración Óptima con </w:t>
            </w:r>
            <w:r w:rsidDel="00000000" w:rsidR="00000000" w:rsidRPr="00000000">
              <w:rPr>
                <w:rFonts w:ascii="Google Sans" w:cs="Google Sans" w:eastAsia="Google Sans" w:hAnsi="Google Sans"/>
                <w:b w:val="1"/>
                <w:bCs w:val="1"/>
                <w:i w:val="1"/>
                <w:iCs w:val="1"/>
                <w:color w:val="1f1f1f"/>
                <w:shd w:fill="auto" w:val="clear"/>
                <w:rtl w:val="0"/>
              </w:rPr>
              <w:t xml:space="preserve">Human-in-the-Loop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Salida sigmoide binaria que permite interpolar una clase de REVISAR con facilidad matemática directa.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Emite </w:t>
            </w:r>
            <w:r w:rsidDel="00000000" w:rsidR="00000000" w:rsidRPr="00000000">
              <w:rPr>
                <w:rFonts w:ascii="Google Sans" w:cs="Google Sans" w:eastAsia="Google Sans" w:hAnsi="Google Sans"/>
                <w:i w:val="1"/>
                <w:iCs w:val="1"/>
                <w:color w:val="1f1f1f"/>
                <w:shd w:fill="auto" w:val="clear"/>
                <w:rtl w:val="0"/>
              </w:rPr>
              <w:t xml:space="preserve">Confidence Scores</w:t>
            </w:r>
            <w:r w:rsidDel="00000000" w:rsidR="00000000" w:rsidRPr="00000000">
              <w:rPr>
                <w:rFonts w:ascii="Google Sans" w:cs="Google Sans" w:eastAsia="Google Sans" w:hAnsi="Google Sans"/>
                <w:color w:val="1f1f1f"/>
                <w:shd w:fill="auto" w:val="clear"/>
                <w:rtl w:val="0"/>
              </w:rPr>
              <w:t xml:space="preserve"> escalares que desencadenan condicionales lógicos para la cuarentena manual de facturas.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 distancias de espacio latente para proyectar los </w:t>
            </w:r>
            <w:r w:rsidDel="00000000" w:rsidR="00000000" w:rsidRPr="00000000">
              <w:rPr>
                <w:rFonts w:ascii="Google Sans" w:cs="Google Sans" w:eastAsia="Google Sans" w:hAnsi="Google Sans"/>
                <w:i w:val="1"/>
                <w:iCs w:val="1"/>
                <w:color w:val="1f1f1f"/>
                <w:shd w:fill="auto" w:val="clear"/>
                <w:rtl w:val="0"/>
              </w:rPr>
              <w:t xml:space="preserve">K-Vecinos</w:t>
            </w:r>
            <w:r w:rsidDel="00000000" w:rsidR="00000000" w:rsidRPr="00000000">
              <w:rPr>
                <w:rFonts w:ascii="Google Sans" w:cs="Google Sans" w:eastAsia="Google Sans" w:hAnsi="Google Sans"/>
                <w:color w:val="1f1f1f"/>
                <w:shd w:fill="auto" w:val="clear"/>
                <w:rtl w:val="0"/>
              </w:rPr>
              <w:t xml:space="preserve"> más próximos, dotando al humano de contexto relacional durante la inspección.</w:t>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Conclusión Metodológica y Recomendación Estratégica:</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validación cruzada de las dimensiones analíticas presentadas ratifica que la clasificación asimétrica del Fichero 03 del Programa BÁSICO CARM-FSE+ no puede delegarse a un paradigma único sin poner en riesgo la integridad de la auditoría y la justificación financiera del programa. El diseño del TFM requiere imperativamente la adopción de una arquitectura de canalización híbrida (Pipeline multiestrato).</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la primera etapa (Bloqueo Determinista), el sistema debe integrar un cruce difuso ultrarrápido utilizando RapidFuzz, ejecutando las reglas de exclusión explícitas que permitan autorizar o rechazar de plano los artículos inconfundibles, eludiendo la carga computacional innecesaria.</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Posteriormente, las descripciones ambiguas y ruidosas deben ser procesadas por el orquestador estadístico central. Tomando en consideración las implacables limitaciones del entorno en la nube no garantizado (Google Colab Free Tier), el </w:t>
      </w:r>
      <w:r w:rsidDel="00000000" w:rsidR="00000000" w:rsidRPr="00000000">
        <w:rPr>
          <w:rFonts w:ascii="Google Sans" w:cs="Google Sans" w:eastAsia="Google Sans" w:hAnsi="Google Sans"/>
          <w:b w:val="1"/>
          <w:bCs w:val="1"/>
          <w:color w:val="1f1f1f"/>
          <w:rtl w:val="0"/>
        </w:rPr>
        <w:t xml:space="preserve">Sistema 2 (fastText)</w:t>
      </w:r>
      <w:r w:rsidDel="00000000" w:rsidR="00000000" w:rsidRPr="00000000">
        <w:rPr>
          <w:rFonts w:ascii="Google Sans" w:cs="Google Sans" w:eastAsia="Google Sans" w:hAnsi="Google Sans"/>
          <w:color w:val="1f1f1f"/>
          <w:rtl w:val="0"/>
        </w:rPr>
        <w:t xml:space="preserve"> se postula como la alternativa teórica por defecto de mayor pragmatismo y resiliencia para el núcleo de la clasificación; su capacidad de ingerir errores ortográficos conservando la predictibilidad estocástica en hardware restrictivo es fundamental para garantizar la reproducibilidad del TFM sin depender de la suerte en la asignación de aceleradores por parte de Google.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embargo, para propulsar la investigación hacia el filo del estado del arte académico, la evidencia dicta una recomendación concurrente y audaz: explorar el </w:t>
      </w:r>
      <w:r w:rsidDel="00000000" w:rsidR="00000000" w:rsidRPr="00000000">
        <w:rPr>
          <w:rFonts w:ascii="Google Sans" w:cs="Google Sans" w:eastAsia="Google Sans" w:hAnsi="Google Sans"/>
          <w:b w:val="1"/>
          <w:bCs w:val="1"/>
          <w:color w:val="1f1f1f"/>
          <w:rtl w:val="0"/>
        </w:rPr>
        <w:t xml:space="preserve">Sistema 3 bajo el prisma de la técnica de destilación estática Model2Vec</w:t>
      </w:r>
      <w:r w:rsidDel="00000000" w:rsidR="00000000" w:rsidRPr="00000000">
        <w:rPr>
          <w:rFonts w:ascii="Google Sans" w:cs="Google Sans" w:eastAsia="Google Sans" w:hAnsi="Google Sans"/>
          <w:color w:val="1f1f1f"/>
          <w:rtl w:val="0"/>
        </w:rPr>
        <w:t xml:space="preserve">. Transmutar las profundidades semánticas del transformador MiniLM en tensores estáticos frugales de memoria lograría un impacto disruptivo.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Esta innovación anularía la desventaja computacional del procesamiento semántico contextual, garantizando velocidades comparables a los clasificadores lineales, pero con la capacidad intelectiva necesaria para cruzar nomenclaturas anómalas con los dogmas inquebrantables del control económico gubernamental. Incorporar la categorización incierta bajo un paraguas de REVISAR y enrutar las instancias liminales a los gestores humanos consumará una infraestructura algorítmica invulnerable a auditorías, pionera en su campo, y metodológicamente sobresaliente para un Trabajo de Fin de Máster en Ciencia de Datos.</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Compromisos, medidas y clasificaciones (CSV) - La Moncloa, acceso: marzo 20, 2026, </w:t>
      </w:r>
      <w:hyperlink r:id="rId6">
        <w:r w:rsidDel="00000000" w:rsidR="00000000" w:rsidRPr="00000000">
          <w:rPr>
            <w:rFonts w:ascii="Google Sans" w:cs="Google Sans" w:eastAsia="Google Sans" w:hAnsi="Google Sans"/>
            <w:color w:val="0000ee"/>
            <w:sz w:val="24"/>
            <w:szCs w:val="24"/>
            <w:u w:val="single"/>
            <w:rtl w:val="0"/>
          </w:rPr>
          <w:t xml:space="preserve">https://www.lamoncloa.gob.es/Documents/2024/compromisos-medidas-clasificaciones.csv</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 n.º 74 16-abril-2025, acceso: marzo 20, 2026, </w:t>
      </w:r>
      <w:hyperlink r:id="rId7">
        <w:r w:rsidDel="00000000" w:rsidR="00000000" w:rsidRPr="00000000">
          <w:rPr>
            <w:rFonts w:ascii="Google Sans" w:cs="Google Sans" w:eastAsia="Google Sans" w:hAnsi="Google Sans"/>
            <w:color w:val="0000ee"/>
            <w:sz w:val="24"/>
            <w:szCs w:val="24"/>
            <w:u w:val="single"/>
            <w:rtl w:val="0"/>
          </w:rPr>
          <w:t xml:space="preserve">https://doe.juntaex.es/pdfs/doe/2025/740o/740o.pdf</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Núm. 36 Sección III. Otras disposiciones y actos administrativos, acceso: marzo 20, 2026, </w:t>
      </w:r>
      <w:hyperlink r:id="rId8">
        <w:r w:rsidDel="00000000" w:rsidR="00000000" w:rsidRPr="00000000">
          <w:rPr>
            <w:rFonts w:ascii="Google Sans" w:cs="Google Sans" w:eastAsia="Google Sans" w:hAnsi="Google Sans"/>
            <w:color w:val="0000ee"/>
            <w:sz w:val="24"/>
            <w:szCs w:val="24"/>
            <w:u w:val="single"/>
            <w:rtl w:val="0"/>
          </w:rPr>
          <w:t xml:space="preserve">https://www.caib.es/seucaib/ca/arxiuServlet?id=6327776</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de Asistencia Material Básica - Comunidad de Madrid |, acceso: marzo 20, 2026, </w:t>
      </w:r>
      <w:hyperlink r:id="rId9">
        <w:r w:rsidDel="00000000" w:rsidR="00000000" w:rsidRPr="00000000">
          <w:rPr>
            <w:rFonts w:ascii="Google Sans" w:cs="Google Sans" w:eastAsia="Google Sans" w:hAnsi="Google Sans"/>
            <w:color w:val="0000ee"/>
            <w:sz w:val="24"/>
            <w:szCs w:val="24"/>
            <w:u w:val="single"/>
            <w:rtl w:val="0"/>
          </w:rPr>
          <w:t xml:space="preserve">https://www.comunidad.madrid/servicios/servicios-sociales/programa-asistencia-material-basica</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Approach for Product Record Linkage Using Cross-Lingual Learning and Large Language Models - SciTePress, acceso: marzo 20, 2026, </w:t>
      </w:r>
      <w:hyperlink r:id="rId10">
        <w:r w:rsidDel="00000000" w:rsidR="00000000" w:rsidRPr="00000000">
          <w:rPr>
            <w:rFonts w:ascii="Google Sans" w:cs="Google Sans" w:eastAsia="Google Sans" w:hAnsi="Google Sans"/>
            <w:color w:val="0000ee"/>
            <w:sz w:val="24"/>
            <w:szCs w:val="24"/>
            <w:u w:val="single"/>
            <w:rtl w:val="0"/>
          </w:rPr>
          <w:t xml:space="preserve">https://www.scitepress.org/Papers/2025/132850/132850.pdf</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Multimodal Assistive System for Product Localization and Retrieval for People who are Blind or have Low Vision Ligao Ruana, Gi - arXiv.org, acceso: marzo 20, 2026, </w:t>
      </w:r>
      <w:hyperlink r:id="rId11">
        <w:r w:rsidDel="00000000" w:rsidR="00000000" w:rsidRPr="00000000">
          <w:rPr>
            <w:rFonts w:ascii="Google Sans" w:cs="Google Sans" w:eastAsia="Google Sans" w:hAnsi="Google Sans"/>
            <w:color w:val="0000ee"/>
            <w:sz w:val="24"/>
            <w:szCs w:val="24"/>
            <w:u w:val="single"/>
            <w:rtl w:val="0"/>
          </w:rPr>
          <w:t xml:space="preserve">https://www.arxiv.org/pdf/2601.12486</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Pretrained Models — Sentence Transformers documentation, acceso: marzo 20, 2026, </w:t>
      </w:r>
      <w:hyperlink r:id="rId12">
        <w:r w:rsidDel="00000000" w:rsidR="00000000" w:rsidRPr="00000000">
          <w:rPr>
            <w:rFonts w:ascii="Google Sans" w:cs="Google Sans" w:eastAsia="Google Sans" w:hAnsi="Google Sans"/>
            <w:color w:val="0000ee"/>
            <w:sz w:val="24"/>
            <w:szCs w:val="24"/>
            <w:u w:val="single"/>
            <w:rtl w:val="0"/>
          </w:rPr>
          <w:t xml:space="preserve">https://www.sbert.net/docs/sentence_transformer/pretrained_models.html</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Luxical: High-Speed Lexical-Dense Text Embeddings - arXiv, acceso: marzo 20, 2026, </w:t>
      </w:r>
      <w:hyperlink r:id="rId13">
        <w:r w:rsidDel="00000000" w:rsidR="00000000" w:rsidRPr="00000000">
          <w:rPr>
            <w:rFonts w:ascii="Google Sans" w:cs="Google Sans" w:eastAsia="Google Sans" w:hAnsi="Google Sans"/>
            <w:color w:val="0000ee"/>
            <w:sz w:val="24"/>
            <w:szCs w:val="24"/>
            <w:u w:val="single"/>
            <w:rtl w:val="0"/>
          </w:rPr>
          <w:t xml:space="preserve">https://arxiv.org/html/2512.09015v2</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Entity Matching using Large Language Models - arXiv, acceso: marzo 20, 2026, </w:t>
      </w:r>
      <w:hyperlink r:id="rId14">
        <w:r w:rsidDel="00000000" w:rsidR="00000000" w:rsidRPr="00000000">
          <w:rPr>
            <w:rFonts w:ascii="Google Sans" w:cs="Google Sans" w:eastAsia="Google Sans" w:hAnsi="Google Sans"/>
            <w:color w:val="0000ee"/>
            <w:sz w:val="24"/>
            <w:szCs w:val="24"/>
            <w:u w:val="single"/>
            <w:rtl w:val="0"/>
          </w:rPr>
          <w:t xml:space="preserve">https://arxiv.org/pdf/2310.11244</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Entity-Matching System Based on Multimodal Data for Two Major E-Commerce Stores in Mexico - MDPI, acceso: marzo 20, 2026, </w:t>
      </w:r>
      <w:hyperlink r:id="rId15">
        <w:r w:rsidDel="00000000" w:rsidR="00000000" w:rsidRPr="00000000">
          <w:rPr>
            <w:rFonts w:ascii="Google Sans" w:cs="Google Sans" w:eastAsia="Google Sans" w:hAnsi="Google Sans"/>
            <w:color w:val="0000ee"/>
            <w:sz w:val="24"/>
            <w:szCs w:val="24"/>
            <w:u w:val="single"/>
            <w:rtl w:val="0"/>
          </w:rPr>
          <w:t xml:space="preserve">https://www.mdpi.com/2227-7390/10/15/2564</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Journal of Innovative Knowledge Concepts - ResearchGate, acceso: marzo 20, 2026, </w:t>
      </w:r>
      <w:hyperlink r:id="rId16">
        <w:r w:rsidDel="00000000" w:rsidR="00000000" w:rsidRPr="00000000">
          <w:rPr>
            <w:rFonts w:ascii="Google Sans" w:cs="Google Sans" w:eastAsia="Google Sans" w:hAnsi="Google Sans"/>
            <w:color w:val="0000ee"/>
            <w:sz w:val="24"/>
            <w:szCs w:val="24"/>
            <w:u w:val="single"/>
            <w:rtl w:val="0"/>
          </w:rPr>
          <w:t xml:space="preserve">https://www.researchgate.net/profile/Paramita_Roy4/publication/334732910_International_Journal_of_Innovative_Knowledge_Concepts/links/5d3dfef94585153e592a9f3e/International-Journal-of-Innovative-Knowledge-Concepts.pdf</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Investigation On The Interrelation Between Teachers' Viewpoint On Mathematics and Learners' Mathematics Accomplishment in High and Higher Secondary Schools in Hilly District of Assam - Scribd, acceso: marzo 20, 2026, </w:t>
      </w:r>
      <w:hyperlink r:id="rId17">
        <w:r w:rsidDel="00000000" w:rsidR="00000000" w:rsidRPr="00000000">
          <w:rPr>
            <w:rFonts w:ascii="Google Sans" w:cs="Google Sans" w:eastAsia="Google Sans" w:hAnsi="Google Sans"/>
            <w:color w:val="0000ee"/>
            <w:sz w:val="24"/>
            <w:szCs w:val="24"/>
            <w:u w:val="single"/>
            <w:rtl w:val="0"/>
          </w:rPr>
          <w:t xml:space="preserve">https://www.scribd.com/document/488510656/An-Investigation-On-The-Interrelation-Between-Teachers-Viewpoint-On-Mathematics-And-Learners-Mathematics-Accomplishment-In-High-And-Higher-Secondary</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Representation Learning and Deep Neural Approaches for ... - -ORCA, acceso: marzo 20, 2026, </w:t>
      </w:r>
      <w:hyperlink r:id="rId18">
        <w:r w:rsidDel="00000000" w:rsidR="00000000" w:rsidRPr="00000000">
          <w:rPr>
            <w:rFonts w:ascii="Google Sans" w:cs="Google Sans" w:eastAsia="Google Sans" w:hAnsi="Google Sans"/>
            <w:color w:val="0000ee"/>
            <w:sz w:val="24"/>
            <w:szCs w:val="24"/>
            <w:u w:val="single"/>
            <w:rtl w:val="0"/>
          </w:rPr>
          <w:t xml:space="preserve">https://orca.cardiff.ac.uk/id/eprint/185433/2/2026anggoroaphd.pdf</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Uncovering the Reasons Behind COVID-19 Vaccine Hesitancy in Serbia: Sentiment-Based Topic Modeling - PMC, acceso: marzo 20,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https://pmc.ncbi.nlm.nih.gov/articles/PMC9671489/</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Static Word Embeddings for Sentence Semantic Representation - ACL Anthology, acceso: marzo 20, 2026, </w:t>
      </w:r>
      <w:hyperlink r:id="rId20">
        <w:r w:rsidDel="00000000" w:rsidR="00000000" w:rsidRPr="00000000">
          <w:rPr>
            <w:rFonts w:ascii="Google Sans" w:cs="Google Sans" w:eastAsia="Google Sans" w:hAnsi="Google Sans"/>
            <w:color w:val="0000ee"/>
            <w:sz w:val="24"/>
            <w:szCs w:val="24"/>
            <w:u w:val="single"/>
            <w:rtl w:val="0"/>
          </w:rPr>
          <w:t xml:space="preserve">https://aclanthology.org/2025.emnlp-main.316.pdf</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Supercharge Your Transformers with Model2Vec: Shrink by 50x, Run 500x Faster - Medium, acceso: marzo 20, 2026, </w:t>
      </w:r>
      <w:hyperlink r:id="rId21">
        <w:r w:rsidDel="00000000" w:rsidR="00000000" w:rsidRPr="00000000">
          <w:rPr>
            <w:rFonts w:ascii="Google Sans" w:cs="Google Sans" w:eastAsia="Google Sans" w:hAnsi="Google Sans"/>
            <w:color w:val="0000ee"/>
            <w:sz w:val="24"/>
            <w:szCs w:val="24"/>
            <w:u w:val="single"/>
            <w:rtl w:val="0"/>
          </w:rPr>
          <w:t xml:space="preserve">https://medium.com/@hrishikesh19202/supercharge-your-transformers-with-model2vec-shrink-by-50x-run-500x-faster-c640c6bc1a42</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Invoice Scanning and Capture Tools in 2026 - HighRadius, acceso: marzo 20, 2026, </w:t>
      </w:r>
      <w:hyperlink r:id="rId22">
        <w:r w:rsidDel="00000000" w:rsidR="00000000" w:rsidRPr="00000000">
          <w:rPr>
            <w:rFonts w:ascii="Google Sans" w:cs="Google Sans" w:eastAsia="Google Sans" w:hAnsi="Google Sans"/>
            <w:color w:val="0000ee"/>
            <w:sz w:val="24"/>
            <w:szCs w:val="24"/>
            <w:u w:val="single"/>
            <w:rtl w:val="0"/>
          </w:rPr>
          <w:t xml:space="preserve">https://www.highradius.com/resources/Blog/best-invoice-scanning-tools/</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Vendor Invoice Management for SAP - OpenText, acceso: marzo 20, 2026, </w:t>
      </w:r>
      <w:hyperlink r:id="rId23">
        <w:r w:rsidDel="00000000" w:rsidR="00000000" w:rsidRPr="00000000">
          <w:rPr>
            <w:rFonts w:ascii="Google Sans" w:cs="Google Sans" w:eastAsia="Google Sans" w:hAnsi="Google Sans"/>
            <w:color w:val="0000ee"/>
            <w:sz w:val="24"/>
            <w:szCs w:val="24"/>
            <w:u w:val="single"/>
            <w:rtl w:val="0"/>
          </w:rPr>
          <w:t xml:space="preserve">https://www.opentext.com/products/vendor-invoice-management-for-sap-solutions</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 Data Triples Enhance Document Relevance Classification - MDPI, acceso: marzo 20, 2026, </w:t>
      </w:r>
      <w:hyperlink r:id="rId24">
        <w:r w:rsidDel="00000000" w:rsidR="00000000" w:rsidRPr="00000000">
          <w:rPr>
            <w:rFonts w:ascii="Google Sans" w:cs="Google Sans" w:eastAsia="Google Sans" w:hAnsi="Google Sans"/>
            <w:color w:val="0000ee"/>
            <w:sz w:val="24"/>
            <w:szCs w:val="24"/>
            <w:u w:val="single"/>
            <w:rtl w:val="0"/>
          </w:rPr>
          <w:t xml:space="preserve">https://www.mdpi.com/2076-3417/11/14/6636</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Entity Matching with Pre-Trained Language Models - VLDB Endowment, acceso: marzo 20, 2026, </w:t>
      </w:r>
      <w:hyperlink r:id="rId25">
        <w:r w:rsidDel="00000000" w:rsidR="00000000" w:rsidRPr="00000000">
          <w:rPr>
            <w:rFonts w:ascii="Google Sans" w:cs="Google Sans" w:eastAsia="Google Sans" w:hAnsi="Google Sans"/>
            <w:color w:val="0000ee"/>
            <w:sz w:val="24"/>
            <w:szCs w:val="24"/>
            <w:u w:val="single"/>
            <w:rtl w:val="0"/>
          </w:rPr>
          <w:t xml:space="preserve">https://www.vldb.org/pvldb/vol14/p50-li.pdf</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 Beyond Limits: Advances and Open Problems for LLMs - arXiv.org, acceso: marzo 20, 2026, </w:t>
      </w:r>
      <w:hyperlink r:id="rId26">
        <w:r w:rsidDel="00000000" w:rsidR="00000000" w:rsidRPr="00000000">
          <w:rPr>
            <w:rFonts w:ascii="Google Sans" w:cs="Google Sans" w:eastAsia="Google Sans" w:hAnsi="Google Sans"/>
            <w:color w:val="0000ee"/>
            <w:sz w:val="24"/>
            <w:szCs w:val="24"/>
            <w:u w:val="single"/>
            <w:rtl w:val="0"/>
          </w:rPr>
          <w:t xml:space="preserve">https://arxiv.org/html/2503.22732v2</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Rossum API Reference, acceso: marzo 20, 2026, </w:t>
      </w:r>
      <w:hyperlink r:id="rId27">
        <w:r w:rsidDel="00000000" w:rsidR="00000000" w:rsidRPr="00000000">
          <w:rPr>
            <w:rFonts w:ascii="Google Sans" w:cs="Google Sans" w:eastAsia="Google Sans" w:hAnsi="Google Sans"/>
            <w:color w:val="0000ee"/>
            <w:sz w:val="24"/>
            <w:szCs w:val="24"/>
            <w:u w:val="single"/>
            <w:rtl w:val="0"/>
          </w:rPr>
          <w:t xml:space="preserve">https://elis.rossum.ai/api/docs/</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Decision Analytics Applications in Industry [1 ed.] 9811536422, 9789811536427 - DOKUMEN.PUB, acceso: marzo 20, 2026, </w:t>
      </w:r>
      <w:hyperlink r:id="rId28">
        <w:r w:rsidDel="00000000" w:rsidR="00000000" w:rsidRPr="00000000">
          <w:rPr>
            <w:rFonts w:ascii="Google Sans" w:cs="Google Sans" w:eastAsia="Google Sans" w:hAnsi="Google Sans"/>
            <w:color w:val="0000ee"/>
            <w:sz w:val="24"/>
            <w:szCs w:val="24"/>
            <w:u w:val="single"/>
            <w:rtl w:val="0"/>
          </w:rPr>
          <w:t xml:space="preserve">https://dokumen.pub/decision-analytics-applications-in-industry-1nbsped-9811536422-9789811536427.html</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Robust Hybrid Approach for Textual Document Classification, acceso: marzo 20, 2026, </w:t>
      </w:r>
      <w:hyperlink r:id="rId29">
        <w:r w:rsidDel="00000000" w:rsidR="00000000" w:rsidRPr="00000000">
          <w:rPr>
            <w:rFonts w:ascii="Google Sans" w:cs="Google Sans" w:eastAsia="Google Sans" w:hAnsi="Google Sans"/>
            <w:color w:val="0000ee"/>
            <w:sz w:val="24"/>
            <w:szCs w:val="24"/>
            <w:u w:val="single"/>
            <w:rtl w:val="0"/>
          </w:rPr>
          <w:t xml:space="preserve">https://www.dfki.de/fileadmin/user_upload/import/10638_Asim_text_document_classification.pdf</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System for Sentiment Analysis in Twitter Messages - ACL Anthology, acceso: marzo 20, 2026, </w:t>
      </w:r>
      <w:hyperlink r:id="rId30">
        <w:r w:rsidDel="00000000" w:rsidR="00000000" w:rsidRPr="00000000">
          <w:rPr>
            <w:rFonts w:ascii="Google Sans" w:cs="Google Sans" w:eastAsia="Google Sans" w:hAnsi="Google Sans"/>
            <w:color w:val="0000ee"/>
            <w:sz w:val="24"/>
            <w:szCs w:val="24"/>
            <w:u w:val="single"/>
            <w:rtl w:val="0"/>
          </w:rPr>
          <w:t xml:space="preserve">https://aclanthology.org/S13-2095.pdf</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Approach Combining Machine Learning and a Rule-Based Expert System for Text Categorization. - ResearchGate, acceso: marzo 20,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https://www.researchgate.net/publication/221438964_Hybrid_Approach_Combining_Machine_Learning_and_a_Rule-Based_Expert_System_for_Text_Categorization</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Foundations to GPT in Text Classification: A Comprehensive Survey on Current Approaches and Future Trends - Emerald Publishing, acceso: marzo 20, 2026, </w:t>
      </w:r>
      <w:hyperlink r:id="rId32">
        <w:r w:rsidDel="00000000" w:rsidR="00000000" w:rsidRPr="00000000">
          <w:rPr>
            <w:rFonts w:ascii="Google Sans" w:cs="Google Sans" w:eastAsia="Google Sans" w:hAnsi="Google Sans"/>
            <w:color w:val="0000ee"/>
            <w:sz w:val="24"/>
            <w:szCs w:val="24"/>
            <w:u w:val="single"/>
            <w:rtl w:val="0"/>
          </w:rPr>
          <w:t xml:space="preserve">https://www.emerald.com/ftinr/article/19/5/557/1331515/From-Foundations-to-GPT-in-Text-Classification-A</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Benchmarking Foundation Models for Tabular Data With Text - OpenReview, acceso: marzo 20, 2026, </w:t>
      </w:r>
      <w:hyperlink r:id="rId33">
        <w:r w:rsidDel="00000000" w:rsidR="00000000" w:rsidRPr="00000000">
          <w:rPr>
            <w:rFonts w:ascii="Google Sans" w:cs="Google Sans" w:eastAsia="Google Sans" w:hAnsi="Google Sans"/>
            <w:color w:val="0000ee"/>
            <w:sz w:val="24"/>
            <w:szCs w:val="24"/>
            <w:u w:val="single"/>
            <w:rtl w:val="0"/>
          </w:rPr>
          <w:t xml:space="preserve">https://openreview.net/pdf?id=yrmoQG9NAV</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Pretrained models - OpenSearch Documentation, acceso: marzo 20, 2026, </w:t>
      </w:r>
      <w:hyperlink r:id="rId34">
        <w:r w:rsidDel="00000000" w:rsidR="00000000" w:rsidRPr="00000000">
          <w:rPr>
            <w:rFonts w:ascii="Google Sans" w:cs="Google Sans" w:eastAsia="Google Sans" w:hAnsi="Google Sans"/>
            <w:color w:val="0000ee"/>
            <w:sz w:val="24"/>
            <w:szCs w:val="24"/>
            <w:u w:val="single"/>
            <w:rtl w:val="0"/>
          </w:rPr>
          <w:t xml:space="preserve">https://docs.opensearch.org/latest/ml-commons-plugin/pretrained-models/</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counterfactual detection in multilingual contexts using a few shot clue phrase approach - PMC, acceso: marzo 20,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https://pmc.ncbi.nlm.nih.gov/articles/PMC11986059/</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Proceedings of the 5th International Conference on Natural Language and Speech Processing - ACL Anthology, acceso: marzo 20, 2026, </w:t>
      </w:r>
      <w:hyperlink r:id="rId36">
        <w:r w:rsidDel="00000000" w:rsidR="00000000" w:rsidRPr="00000000">
          <w:rPr>
            <w:rFonts w:ascii="Google Sans" w:cs="Google Sans" w:eastAsia="Google Sans" w:hAnsi="Google Sans"/>
            <w:color w:val="0000ee"/>
            <w:sz w:val="24"/>
            <w:szCs w:val="24"/>
            <w:u w:val="single"/>
            <w:rtl w:val="0"/>
          </w:rPr>
          <w:t xml:space="preserve">https://aclanthology.org/2022.icnlsp-1.pdf</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ICML Poster Beyond Matryoshka: Revisiting Sparse Coding for Adaptive Representation, acceso: marzo 20, 2026, </w:t>
      </w:r>
      <w:hyperlink r:id="rId37">
        <w:r w:rsidDel="00000000" w:rsidR="00000000" w:rsidRPr="00000000">
          <w:rPr>
            <w:rFonts w:ascii="Google Sans" w:cs="Google Sans" w:eastAsia="Google Sans" w:hAnsi="Google Sans"/>
            <w:color w:val="0000ee"/>
            <w:sz w:val="24"/>
            <w:szCs w:val="24"/>
            <w:u w:val="single"/>
            <w:rtl w:val="0"/>
          </w:rPr>
          <w:t xml:space="preserve">https://icml.cc/virtual/2025/poster/43502</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pre-trained text embedding models in aligning built asset information - arXiv, acceso: marzo 20, 2026, </w:t>
      </w:r>
      <w:hyperlink r:id="rId38">
        <w:r w:rsidDel="00000000" w:rsidR="00000000" w:rsidRPr="00000000">
          <w:rPr>
            <w:rFonts w:ascii="Google Sans" w:cs="Google Sans" w:eastAsia="Google Sans" w:hAnsi="Google Sans"/>
            <w:color w:val="0000ee"/>
            <w:sz w:val="24"/>
            <w:szCs w:val="24"/>
            <w:u w:val="single"/>
            <w:rtl w:val="0"/>
          </w:rPr>
          <w:t xml:space="preserve">https://arxiv.org/html/2411.12056v1</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Contextual semantics graph attention network model for entity resolution - PMC, acceso: marzo 20,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https://pmc.ncbi.nlm.nih.gov/articles/PMC12297361/</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LLM-Enhanced Entity Matching: Comparative Analysis of traditional and modern techniques - Research Collection, acceso: marzo 20, 2026, </w:t>
      </w:r>
      <w:hyperlink r:id="rId40">
        <w:r w:rsidDel="00000000" w:rsidR="00000000" w:rsidRPr="00000000">
          <w:rPr>
            <w:rFonts w:ascii="Google Sans" w:cs="Google Sans" w:eastAsia="Google Sans" w:hAnsi="Google Sans"/>
            <w:color w:val="0000ee"/>
            <w:sz w:val="24"/>
            <w:szCs w:val="24"/>
            <w:u w:val="single"/>
            <w:rtl w:val="0"/>
          </w:rPr>
          <w:t xml:space="preserve">https://www.research-collection.ethz.ch/bitstreams/077d6e61-cfa6-470d-89d9-e8fc0d46a9e9/download</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Entity Matching using Large Language Models - arXiv, acceso: marzo 20, 2026, </w:t>
      </w:r>
      <w:hyperlink r:id="rId41">
        <w:r w:rsidDel="00000000" w:rsidR="00000000" w:rsidRPr="00000000">
          <w:rPr>
            <w:rFonts w:ascii="Google Sans" w:cs="Google Sans" w:eastAsia="Google Sans" w:hAnsi="Google Sans"/>
            <w:color w:val="0000ee"/>
            <w:sz w:val="24"/>
            <w:szCs w:val="24"/>
            <w:u w:val="single"/>
            <w:rtl w:val="0"/>
          </w:rPr>
          <w:t xml:space="preserve">https://arxiv.org/html/2310.11244v3</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KDD '23: Proceedings of the 29th ACM SIGKDD Conference on Knowledge Discovery and Data Mining, acceso: marzo 20, 2026, </w:t>
      </w:r>
      <w:hyperlink r:id="rId42">
        <w:r w:rsidDel="00000000" w:rsidR="00000000" w:rsidRPr="00000000">
          <w:rPr>
            <w:rFonts w:ascii="Google Sans" w:cs="Google Sans" w:eastAsia="Google Sans" w:hAnsi="Google Sans"/>
            <w:color w:val="0000ee"/>
            <w:sz w:val="24"/>
            <w:szCs w:val="24"/>
            <w:u w:val="single"/>
            <w:rtl w:val="0"/>
          </w:rPr>
          <w:t xml:space="preserve">https://kdd.org/kdd2023/wp-content/uploads/2023/08/toc.html</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Fuzzy Matching 101: The Complete Guide to Accurate Data Matching - Data Ladder, acceso: marzo 20, 2026, </w:t>
      </w:r>
      <w:hyperlink r:id="rId43">
        <w:r w:rsidDel="00000000" w:rsidR="00000000" w:rsidRPr="00000000">
          <w:rPr>
            <w:rFonts w:ascii="Google Sans" w:cs="Google Sans" w:eastAsia="Google Sans" w:hAnsi="Google Sans"/>
            <w:color w:val="0000ee"/>
            <w:sz w:val="24"/>
            <w:szCs w:val="24"/>
            <w:u w:val="single"/>
            <w:rtl w:val="0"/>
          </w:rPr>
          <w:t xml:space="preserve">https://dataladder.com/fuzzy-matching-101/</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Fuzzy Matching Algorithm: A Smarter Way to Clean Your Messy Data, acceso: marzo 20, 2026, </w:t>
      </w:r>
      <w:hyperlink r:id="rId44">
        <w:r w:rsidDel="00000000" w:rsidR="00000000" w:rsidRPr="00000000">
          <w:rPr>
            <w:rFonts w:ascii="Google Sans" w:cs="Google Sans" w:eastAsia="Google Sans" w:hAnsi="Google Sans"/>
            <w:color w:val="0000ee"/>
            <w:sz w:val="24"/>
            <w:szCs w:val="24"/>
            <w:u w:val="single"/>
            <w:rtl w:val="0"/>
          </w:rPr>
          <w:t xml:space="preserve">https://www.leadangel.com/blog/operations/understanding-the-fuzzy-matching-algorithm/</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Text Matching Libraries: A Comparative Study | PDF | Program Optimization | Data - Scribd, acceso: marzo 20, 2026, </w:t>
      </w:r>
      <w:hyperlink r:id="rId45">
        <w:r w:rsidDel="00000000" w:rsidR="00000000" w:rsidRPr="00000000">
          <w:rPr>
            <w:rFonts w:ascii="Google Sans" w:cs="Google Sans" w:eastAsia="Google Sans" w:hAnsi="Google Sans"/>
            <w:color w:val="0000ee"/>
            <w:sz w:val="24"/>
            <w:szCs w:val="24"/>
            <w:u w:val="single"/>
            <w:rtl w:val="0"/>
          </w:rPr>
          <w:t xml:space="preserve">https://www.scribd.com/document/946197419/A-Comparative-Analysis-of-Python-Text-Matching-Libraries-A-Multilingual-Evaluation-of-Capabilities-Performance-and-Resource-Utilization</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Comparative Analysis of Python Text Matching Libraries: A ..., acceso: marzo 20,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https://www.researchgate.net/publication/390846511_A_Comparative_Analysis_of_Python_Text_Matching_Libraries_A_Multilingual_Evaluation_of_Capabilities_Performance_and_Resource_Utilization</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OCR Artificial Intelligence | OCR Document Processing - Beyond Key, acceso: marzo 20, 2026, </w:t>
      </w:r>
      <w:hyperlink r:id="rId47">
        <w:r w:rsidDel="00000000" w:rsidR="00000000" w:rsidRPr="00000000">
          <w:rPr>
            <w:rFonts w:ascii="Google Sans" w:cs="Google Sans" w:eastAsia="Google Sans" w:hAnsi="Google Sans"/>
            <w:color w:val="0000ee"/>
            <w:sz w:val="24"/>
            <w:szCs w:val="24"/>
            <w:u w:val="single"/>
            <w:rtl w:val="0"/>
          </w:rPr>
          <w:t xml:space="preserve">https://www.beyondkey.com/blog/ocr-artificial-intelligence/</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Financial Statements Processing &amp; Data Extraction Software | Affinda, acceso: marzo 20, 2026, </w:t>
      </w:r>
      <w:hyperlink r:id="rId48">
        <w:r w:rsidDel="00000000" w:rsidR="00000000" w:rsidRPr="00000000">
          <w:rPr>
            <w:rFonts w:ascii="Google Sans" w:cs="Google Sans" w:eastAsia="Google Sans" w:hAnsi="Google Sans"/>
            <w:color w:val="0000ee"/>
            <w:sz w:val="24"/>
            <w:szCs w:val="24"/>
            <w:u w:val="single"/>
            <w:rtl w:val="0"/>
          </w:rPr>
          <w:t xml:space="preserve">https://www.affinda.com/documents/financial-statements</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AI Engineer Sample Questions and Answers | AI-102 - TheServerSide, acceso: marzo 20, 2026, </w:t>
      </w:r>
      <w:hyperlink r:id="rId49">
        <w:r w:rsidDel="00000000" w:rsidR="00000000" w:rsidRPr="00000000">
          <w:rPr>
            <w:rFonts w:ascii="Google Sans" w:cs="Google Sans" w:eastAsia="Google Sans" w:hAnsi="Google Sans"/>
            <w:color w:val="0000ee"/>
            <w:sz w:val="24"/>
            <w:szCs w:val="24"/>
            <w:u w:val="single"/>
            <w:rtl w:val="0"/>
          </w:rPr>
          <w:t xml:space="preserve">https://www.theserverside.com/blog/Coffee-Talk-Java-News-Stories-and-Opinions/Microsoft-AI-Engineer-Certification-Sample-Questions</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AI-Powered AP Automation Transforms Accounting and Billing Workflows, acceso: marzo 20, 2026, </w:t>
      </w:r>
      <w:hyperlink r:id="rId50">
        <w:r w:rsidDel="00000000" w:rsidR="00000000" w:rsidRPr="00000000">
          <w:rPr>
            <w:rFonts w:ascii="Google Sans" w:cs="Google Sans" w:eastAsia="Google Sans" w:hAnsi="Google Sans"/>
            <w:color w:val="0000ee"/>
            <w:sz w:val="24"/>
            <w:szCs w:val="24"/>
            <w:u w:val="single"/>
            <w:rtl w:val="0"/>
          </w:rPr>
          <w:t xml:space="preserve">https://kelleycreate.com/ai-powered-ap-automation/</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Document Processing Powered by Visual Language Models - Tredence, acceso: marzo 20, 2026, </w:t>
      </w:r>
      <w:hyperlink r:id="rId51">
        <w:r w:rsidDel="00000000" w:rsidR="00000000" w:rsidRPr="00000000">
          <w:rPr>
            <w:rFonts w:ascii="Google Sans" w:cs="Google Sans" w:eastAsia="Google Sans" w:hAnsi="Google Sans"/>
            <w:color w:val="0000ee"/>
            <w:sz w:val="24"/>
            <w:szCs w:val="24"/>
            <w:u w:val="single"/>
            <w:rtl w:val="0"/>
          </w:rPr>
          <w:t xml:space="preserve">https://www.tredence.com/blog/visual-language-models</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CERTEM: Explaining and Debugging Black-box Entity Resolution Systems with CERTA - VLDB Endowment, acceso: marzo 20, 2026, </w:t>
      </w:r>
      <w:hyperlink r:id="rId52">
        <w:r w:rsidDel="00000000" w:rsidR="00000000" w:rsidRPr="00000000">
          <w:rPr>
            <w:rFonts w:ascii="Google Sans" w:cs="Google Sans" w:eastAsia="Google Sans" w:hAnsi="Google Sans"/>
            <w:color w:val="0000ee"/>
            <w:sz w:val="24"/>
            <w:szCs w:val="24"/>
            <w:u w:val="single"/>
            <w:rtl w:val="0"/>
          </w:rPr>
          <w:t xml:space="preserve">https://www.vldb.org/pvldb/vol15/p3642-teofili.pdf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collection.ethz.ch/bitstreams/077d6e61-cfa6-470d-89d9-e8fc0d46a9e9/download" TargetMode="External"/><Relationship Id="rId42" Type="http://schemas.openxmlformats.org/officeDocument/2006/relationships/hyperlink" Target="https://kdd.org/kdd2023/wp-content/uploads/2023/08/toc.html" TargetMode="External"/><Relationship Id="rId41" Type="http://schemas.openxmlformats.org/officeDocument/2006/relationships/hyperlink" Target="https://arxiv.org/html/2310.11244v3" TargetMode="External"/><Relationship Id="rId44" Type="http://schemas.openxmlformats.org/officeDocument/2006/relationships/hyperlink" Target="https://www.leadangel.com/blog/operations/understanding-the-fuzzy-matching-algorithm/" TargetMode="External"/><Relationship Id="rId43" Type="http://schemas.openxmlformats.org/officeDocument/2006/relationships/hyperlink" Target="https://dataladder.com/fuzzy-matching-101/" TargetMode="External"/><Relationship Id="rId46" Type="http://schemas.openxmlformats.org/officeDocument/2006/relationships/hyperlink" Target="https://www.researchgate.net/publication/390846511_A_Comparative_Analysis_of_Python_Text_Matching_Libraries_A_Multilingual_Evaluation_of_Capabilities_Performance_and_Resource_Utilization" TargetMode="External"/><Relationship Id="rId45" Type="http://schemas.openxmlformats.org/officeDocument/2006/relationships/hyperlink" Target="https://www.scribd.com/document/946197419/A-Comparative-Analysis-of-Python-Text-Matching-Libraries-A-Multilingual-Evaluation-of-Capabilities-Performance-and-Resource-Utiliz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munidad.madrid/servicios/servicios-sociales/programa-asistencia-material-basica" TargetMode="External"/><Relationship Id="rId48" Type="http://schemas.openxmlformats.org/officeDocument/2006/relationships/hyperlink" Target="https://www.affinda.com/documents/financial-statements" TargetMode="External"/><Relationship Id="rId47" Type="http://schemas.openxmlformats.org/officeDocument/2006/relationships/hyperlink" Target="https://www.beyondkey.com/blog/ocr-artificial-intelligence/" TargetMode="External"/><Relationship Id="rId49" Type="http://schemas.openxmlformats.org/officeDocument/2006/relationships/hyperlink" Target="https://www.theserverside.com/blog/Coffee-Talk-Java-News-Stories-and-Opinions/Microsoft-AI-Engineer-Certification-Sample-Questions" TargetMode="External"/><Relationship Id="rId5" Type="http://schemas.openxmlformats.org/officeDocument/2006/relationships/styles" Target="styles.xml"/><Relationship Id="rId6" Type="http://schemas.openxmlformats.org/officeDocument/2006/relationships/hyperlink" Target="https://www.lamoncloa.gob.es/Documents/2024/compromisos-medidas-clasificaciones.csv" TargetMode="External"/><Relationship Id="rId7" Type="http://schemas.openxmlformats.org/officeDocument/2006/relationships/hyperlink" Target="https://doe.juntaex.es/pdfs/doe/2025/740o/740o.pdf" TargetMode="External"/><Relationship Id="rId8" Type="http://schemas.openxmlformats.org/officeDocument/2006/relationships/hyperlink" Target="https://www.caib.es/seucaib/ca/arxiuServlet?id=6327776" TargetMode="External"/><Relationship Id="rId31" Type="http://schemas.openxmlformats.org/officeDocument/2006/relationships/hyperlink" Target="https://www.researchgate.net/publication/221438964_Hybrid_Approach_Combining_Machine_Learning_and_a_Rule-Based_Expert_System_for_Text_Categorization" TargetMode="External"/><Relationship Id="rId30" Type="http://schemas.openxmlformats.org/officeDocument/2006/relationships/hyperlink" Target="https://aclanthology.org/S13-2095.pdf" TargetMode="External"/><Relationship Id="rId33" Type="http://schemas.openxmlformats.org/officeDocument/2006/relationships/hyperlink" Target="https://openreview.net/pdf?id=yrmoQG9NAV" TargetMode="External"/><Relationship Id="rId32" Type="http://schemas.openxmlformats.org/officeDocument/2006/relationships/hyperlink" Target="https://www.emerald.com/ftinr/article/19/5/557/1331515/From-Foundations-to-GPT-in-Text-Classification-A" TargetMode="External"/><Relationship Id="rId35" Type="http://schemas.openxmlformats.org/officeDocument/2006/relationships/hyperlink" Target="https://pmc.ncbi.nlm.nih.gov/articles/PMC11986059/" TargetMode="External"/><Relationship Id="rId34" Type="http://schemas.openxmlformats.org/officeDocument/2006/relationships/hyperlink" Target="https://docs.opensearch.org/latest/ml-commons-plugin/pretrained-models/" TargetMode="External"/><Relationship Id="rId37" Type="http://schemas.openxmlformats.org/officeDocument/2006/relationships/hyperlink" Target="https://icml.cc/virtual/2025/poster/43502" TargetMode="External"/><Relationship Id="rId36" Type="http://schemas.openxmlformats.org/officeDocument/2006/relationships/hyperlink" Target="https://aclanthology.org/2022.icnlsp-1.pdf" TargetMode="External"/><Relationship Id="rId39" Type="http://schemas.openxmlformats.org/officeDocument/2006/relationships/hyperlink" Target="https://pmc.ncbi.nlm.nih.gov/articles/PMC12297361/" TargetMode="External"/><Relationship Id="rId38" Type="http://schemas.openxmlformats.org/officeDocument/2006/relationships/hyperlink" Target="https://arxiv.org/html/2411.12056v1" TargetMode="External"/><Relationship Id="rId20" Type="http://schemas.openxmlformats.org/officeDocument/2006/relationships/hyperlink" Target="https://aclanthology.org/2025.emnlp-main.316.pdf" TargetMode="External"/><Relationship Id="rId22" Type="http://schemas.openxmlformats.org/officeDocument/2006/relationships/hyperlink" Target="https://www.highradius.com/resources/Blog/best-invoice-scanning-tools/" TargetMode="External"/><Relationship Id="rId21" Type="http://schemas.openxmlformats.org/officeDocument/2006/relationships/hyperlink" Target="https://medium.com/@hrishikesh19202/supercharge-your-transformers-with-model2vec-shrink-by-50x-run-500x-faster-c640c6bc1a42" TargetMode="External"/><Relationship Id="rId24" Type="http://schemas.openxmlformats.org/officeDocument/2006/relationships/hyperlink" Target="https://www.mdpi.com/2076-3417/11/14/6636" TargetMode="External"/><Relationship Id="rId23" Type="http://schemas.openxmlformats.org/officeDocument/2006/relationships/hyperlink" Target="https://www.opentext.com/products/vendor-invoice-management-for-sap-solutions" TargetMode="External"/><Relationship Id="rId26" Type="http://schemas.openxmlformats.org/officeDocument/2006/relationships/hyperlink" Target="https://arxiv.org/html/2503.22732v2" TargetMode="External"/><Relationship Id="rId25" Type="http://schemas.openxmlformats.org/officeDocument/2006/relationships/hyperlink" Target="https://www.vldb.org/pvldb/vol14/p50-li.pdf" TargetMode="External"/><Relationship Id="rId28" Type="http://schemas.openxmlformats.org/officeDocument/2006/relationships/hyperlink" Target="https://dokumen.pub/decision-analytics-applications-in-industry-1nbsped-9811536422-9789811536427.html" TargetMode="External"/><Relationship Id="rId27" Type="http://schemas.openxmlformats.org/officeDocument/2006/relationships/hyperlink" Target="https://elis.rossum.ai/api/docs/" TargetMode="External"/><Relationship Id="rId29" Type="http://schemas.openxmlformats.org/officeDocument/2006/relationships/hyperlink" Target="https://www.dfki.de/fileadmin/user_upload/import/10638_Asim_text_document_classification.pdf" TargetMode="External"/><Relationship Id="rId51" Type="http://schemas.openxmlformats.org/officeDocument/2006/relationships/hyperlink" Target="https://www.tredence.com/blog/visual-language-models" TargetMode="External"/><Relationship Id="rId50" Type="http://schemas.openxmlformats.org/officeDocument/2006/relationships/hyperlink" Target="https://kelleycreate.com/ai-powered-ap-automation/" TargetMode="External"/><Relationship Id="rId52" Type="http://schemas.openxmlformats.org/officeDocument/2006/relationships/hyperlink" Target="https://www.vldb.org/pvldb/vol15/p3642-teofili.pdf" TargetMode="External"/><Relationship Id="rId11" Type="http://schemas.openxmlformats.org/officeDocument/2006/relationships/hyperlink" Target="https://www.arxiv.org/pdf/2601.12486" TargetMode="External"/><Relationship Id="rId10" Type="http://schemas.openxmlformats.org/officeDocument/2006/relationships/hyperlink" Target="https://www.scitepress.org/Papers/2025/132850/132850.pdf" TargetMode="External"/><Relationship Id="rId13" Type="http://schemas.openxmlformats.org/officeDocument/2006/relationships/hyperlink" Target="https://arxiv.org/html/2512.09015v2" TargetMode="External"/><Relationship Id="rId12" Type="http://schemas.openxmlformats.org/officeDocument/2006/relationships/hyperlink" Target="https://www.sbert.net/docs/sentence_transformer/pretrained_models.html" TargetMode="External"/><Relationship Id="rId15" Type="http://schemas.openxmlformats.org/officeDocument/2006/relationships/hyperlink" Target="https://www.mdpi.com/2227-7390/10/15/2564" TargetMode="External"/><Relationship Id="rId14" Type="http://schemas.openxmlformats.org/officeDocument/2006/relationships/hyperlink" Target="https://arxiv.org/pdf/2310.11244" TargetMode="External"/><Relationship Id="rId17" Type="http://schemas.openxmlformats.org/officeDocument/2006/relationships/hyperlink" Target="https://www.scribd.com/document/488510656/An-Investigation-On-The-Interrelation-Between-Teachers-Viewpoint-On-Mathematics-And-Learners-Mathematics-Accomplishment-In-High-And-Higher-Secondary" TargetMode="External"/><Relationship Id="rId16" Type="http://schemas.openxmlformats.org/officeDocument/2006/relationships/hyperlink" Target="https://www.researchgate.net/profile/Paramita_Roy4/publication/334732910_International_Journal_of_Innovative_Knowledge_Concepts/links/5d3dfef94585153e592a9f3e/International-Journal-of-Innovative-Knowledge-Concepts.pdf" TargetMode="External"/><Relationship Id="rId19" Type="http://schemas.openxmlformats.org/officeDocument/2006/relationships/hyperlink" Target="https://pmc.ncbi.nlm.nih.gov/articles/PMC9671489/" TargetMode="External"/><Relationship Id="rId18" Type="http://schemas.openxmlformats.org/officeDocument/2006/relationships/hyperlink" Target="https://orca.cardiff.ac.uk/id/eprint/185433/2/2026anggoroaphd.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