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Resumen ejecutivo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Esta investigación fundamenta la creación de un sistema de clasificación para el </w:t>
      </w:r>
      <w:r w:rsidDel="00000000" w:rsidR="00000000" w:rsidRPr="00000000">
        <w:rPr>
          <w:rFonts w:ascii="Arial" w:cs="Arial" w:eastAsia="Arial" w:hAnsi="Arial"/>
          <w:b w:val="1"/>
          <w:bCs w:val="1"/>
          <w:color w:val="1f1f1f"/>
          <w:rtl w:val="0"/>
        </w:rPr>
        <w:t xml:space="preserve">Programa Básico FSE+</w:t>
      </w:r>
      <w:r w:rsidDel="00000000" w:rsidR="00000000" w:rsidRPr="00000000">
        <w:rPr>
          <w:rFonts w:ascii="Arial" w:cs="Arial" w:eastAsia="Arial" w:hAnsi="Arial"/>
          <w:color w:val="1f1f1f"/>
          <w:rtl w:val="0"/>
        </w:rPr>
        <w:t xml:space="preserve"> (Asistencia Material Básica), cuyo objetivo es validar la subvencionabilidad de artículos en el </w:t>
      </w:r>
      <w:r w:rsidDel="00000000" w:rsidR="00000000" w:rsidRPr="00000000">
        <w:rPr>
          <w:rFonts w:ascii="Arial" w:cs="Arial" w:eastAsia="Arial" w:hAnsi="Arial"/>
          <w:b w:val="1"/>
          <w:bCs w:val="1"/>
          <w:color w:val="1f1f1f"/>
          <w:rtl w:val="0"/>
        </w:rPr>
        <w:t xml:space="preserve">Fichero 03</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El problema central es la ambigüedad y el ruido en descripciones de retail (e.g., "Bttr" vs "Butter"), lo que impide un matching exacto.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Los hallazgos principales indican que los modelos de </w:t>
      </w:r>
      <w:r w:rsidDel="00000000" w:rsidR="00000000" w:rsidRPr="00000000">
        <w:rPr>
          <w:rFonts w:ascii="Arial" w:cs="Arial" w:eastAsia="Arial" w:hAnsi="Arial"/>
          <w:b w:val="1"/>
          <w:bCs w:val="1"/>
          <w:color w:val="1f1f1f"/>
          <w:rtl w:val="0"/>
        </w:rPr>
        <w:t xml:space="preserve">Support Vector Machines (SVM)</w:t>
      </w:r>
      <w:r w:rsidDel="00000000" w:rsidR="00000000" w:rsidRPr="00000000">
        <w:rPr>
          <w:rFonts w:ascii="Arial" w:cs="Arial" w:eastAsia="Arial" w:hAnsi="Arial"/>
          <w:color w:val="1f1f1f"/>
          <w:rtl w:val="0"/>
        </w:rPr>
        <w:t xml:space="preserve"> con representaciones </w:t>
      </w:r>
      <w:r w:rsidDel="00000000" w:rsidR="00000000" w:rsidRPr="00000000">
        <w:rPr>
          <w:rFonts w:ascii="Arial" w:cs="Arial" w:eastAsia="Arial" w:hAnsi="Arial"/>
          <w:b w:val="1"/>
          <w:bCs w:val="1"/>
          <w:color w:val="1f1f1f"/>
          <w:rtl w:val="0"/>
        </w:rPr>
        <w:t xml:space="preserve">TF-IDF</w:t>
      </w:r>
      <w:r w:rsidDel="00000000" w:rsidR="00000000" w:rsidRPr="00000000">
        <w:rPr>
          <w:rFonts w:ascii="Arial" w:cs="Arial" w:eastAsia="Arial" w:hAnsi="Arial"/>
          <w:color w:val="1f1f1f"/>
          <w:rtl w:val="0"/>
        </w:rPr>
        <w:t xml:space="preserve"> constituyen el "estado del arte operativo" para este dominio, logrando precisiones de hasta el 98% en la clasificación de nomenclaturas técnicas.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No obstante, la evidencia reciente sugiere que un enfoque </w:t>
      </w:r>
      <w:r w:rsidDel="00000000" w:rsidR="00000000" w:rsidRPr="00000000">
        <w:rPr>
          <w:rFonts w:ascii="Arial" w:cs="Arial" w:eastAsia="Arial" w:hAnsi="Arial"/>
          <w:b w:val="1"/>
          <w:bCs w:val="1"/>
          <w:color w:val="1f1f1f"/>
          <w:rtl w:val="0"/>
        </w:rPr>
        <w:t xml:space="preserve">híbrido</w:t>
      </w:r>
      <w:r w:rsidDel="00000000" w:rsidR="00000000" w:rsidRPr="00000000">
        <w:rPr>
          <w:rFonts w:ascii="Arial" w:cs="Arial" w:eastAsia="Arial" w:hAnsi="Arial"/>
          <w:color w:val="1f1f1f"/>
          <w:rtl w:val="0"/>
        </w:rPr>
        <w:t xml:space="preserve"> (Sparse + Dense), que concatena vectores TF-IDF con embeddings de </w:t>
      </w:r>
      <w:r w:rsidDel="00000000" w:rsidR="00000000" w:rsidRPr="00000000">
        <w:rPr>
          <w:rFonts w:ascii="Arial" w:cs="Arial" w:eastAsia="Arial" w:hAnsi="Arial"/>
          <w:b w:val="1"/>
          <w:bCs w:val="1"/>
          <w:color w:val="1f1f1f"/>
          <w:rtl w:val="0"/>
        </w:rPr>
        <w:t xml:space="preserve">Sentence-Transformers (SBERT)</w:t>
      </w:r>
      <w:r w:rsidDel="00000000" w:rsidR="00000000" w:rsidRPr="00000000">
        <w:rPr>
          <w:rFonts w:ascii="Arial" w:cs="Arial" w:eastAsia="Arial" w:hAnsi="Arial"/>
          <w:color w:val="1f1f1f"/>
          <w:rtl w:val="0"/>
        </w:rPr>
        <w:t xml:space="preserve">, maximiza la detección de paráfrasis sin comprometer la interpretabilidad.</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Este TFM cubre el hueco existente en la aplicación de estas técnicas al contexto administrativo español, donde la normativa prohíbe explícitamente el alcohol y la bollería industrial.</w:t>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Metodología de búsqueda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Se realizó una revisión sistemática en repositorios institucionales (CARM, BOE, UNB) y bases científicas (IEEE, MDPI, CEUR-WS).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Los criterios de inclusión priorizaron estudios sobre </w:t>
      </w:r>
      <w:r w:rsidDel="00000000" w:rsidR="00000000" w:rsidRPr="00000000">
        <w:rPr>
          <w:rFonts w:ascii="Arial" w:cs="Arial" w:eastAsia="Arial" w:hAnsi="Arial"/>
          <w:b w:val="1"/>
          <w:bCs w:val="1"/>
          <w:color w:val="1f1f1f"/>
          <w:rtl w:val="0"/>
        </w:rPr>
        <w:t xml:space="preserve">short-text classification</w:t>
      </w:r>
      <w:r w:rsidDel="00000000" w:rsidR="00000000" w:rsidRPr="00000000">
        <w:rPr>
          <w:rFonts w:ascii="Arial" w:cs="Arial" w:eastAsia="Arial" w:hAnsi="Arial"/>
          <w:color w:val="1f1f1f"/>
          <w:rtl w:val="0"/>
        </w:rPr>
        <w:t xml:space="preserve"> en facturas y </w:t>
      </w:r>
      <w:r w:rsidDel="00000000" w:rsidR="00000000" w:rsidRPr="00000000">
        <w:rPr>
          <w:rFonts w:ascii="Arial" w:cs="Arial" w:eastAsia="Arial" w:hAnsi="Arial"/>
          <w:b w:val="1"/>
          <w:bCs w:val="1"/>
          <w:color w:val="1f1f1f"/>
          <w:rtl w:val="0"/>
        </w:rPr>
        <w:t xml:space="preserve">entity resolution</w:t>
      </w:r>
      <w:r w:rsidDel="00000000" w:rsidR="00000000" w:rsidRPr="00000000">
        <w:rPr>
          <w:rFonts w:ascii="Arial" w:cs="Arial" w:eastAsia="Arial" w:hAnsi="Arial"/>
          <w:color w:val="1f1f1f"/>
          <w:rtl w:val="0"/>
        </w:rPr>
        <w:t xml:space="preserve"> en e-commerce de habla hispana. Se descartaron soluciones de mercado sin métricas de precisión publicadas en favor de benchmarks reproducibles.</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Estado del arte académico</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Sistema 1: Reglas + TF-IDF + Clasificador Lineal (SVM)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literatura confirma que SVM con TF-IDF es un baseline "extremadamente sólido" (F1 = 0.871) para clasificar transacciones comerciales.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El sistema </w:t>
      </w:r>
      <w:r w:rsidDel="00000000" w:rsidR="00000000" w:rsidRPr="00000000">
        <w:rPr>
          <w:rFonts w:ascii="Arial" w:cs="Arial" w:eastAsia="Arial" w:hAnsi="Arial"/>
          <w:b w:val="1"/>
          <w:bCs w:val="1"/>
          <w:color w:val="1f1f1f"/>
          <w:rtl w:val="0"/>
        </w:rPr>
        <w:t xml:space="preserve">SCAN-NF</w:t>
      </w:r>
      <w:r w:rsidDel="00000000" w:rsidR="00000000" w:rsidRPr="00000000">
        <w:rPr>
          <w:rFonts w:ascii="Arial" w:cs="Arial" w:eastAsia="Arial" w:hAnsi="Arial"/>
          <w:color w:val="1f1f1f"/>
          <w:rtl w:val="0"/>
        </w:rPr>
        <w:t xml:space="preserve">, desarrollado en la Universidad de Brasilia para auditoría fiscal, demostró que estos modelos superan a las redes neuronales (CNN) en precisión cuando se trata de asignar códigos de producto técnicos, alcanzando el 98% de acierto.</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Su principal ventaja es la </w:t>
      </w:r>
      <w:r w:rsidDel="00000000" w:rsidR="00000000" w:rsidRPr="00000000">
        <w:rPr>
          <w:rFonts w:ascii="Arial" w:cs="Arial" w:eastAsia="Arial" w:hAnsi="Arial"/>
          <w:b w:val="1"/>
          <w:bCs w:val="1"/>
          <w:color w:val="1f1f1f"/>
          <w:rtl w:val="0"/>
        </w:rPr>
        <w:t xml:space="preserve">explicabilidad</w:t>
      </w:r>
      <w:r w:rsidDel="00000000" w:rsidR="00000000" w:rsidRPr="00000000">
        <w:rPr>
          <w:rFonts w:ascii="Arial" w:cs="Arial" w:eastAsia="Arial" w:hAnsi="Arial"/>
          <w:color w:val="1f1f1f"/>
          <w:rtl w:val="0"/>
        </w:rPr>
        <w:t xml:space="preserve"> mediante pesos de coeficientes y valores SHAP.</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Sistema 2: fastText y enfoques Subword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En el procesamiento de textos ruidosos y con abreviaturas (e.g., "LCHE ENT" por "Leche Entera"), </w:t>
      </w:r>
      <w:r w:rsidDel="00000000" w:rsidR="00000000" w:rsidRPr="00000000">
        <w:rPr>
          <w:rFonts w:ascii="Arial" w:cs="Arial" w:eastAsia="Arial" w:hAnsi="Arial"/>
          <w:b w:val="1"/>
          <w:bCs w:val="1"/>
          <w:color w:val="1f1f1f"/>
          <w:rtl w:val="0"/>
        </w:rPr>
        <w:t xml:space="preserve">fastText</w:t>
      </w:r>
      <w:r w:rsidDel="00000000" w:rsidR="00000000" w:rsidRPr="00000000">
        <w:rPr>
          <w:rFonts w:ascii="Arial" w:cs="Arial" w:eastAsia="Arial" w:hAnsi="Arial"/>
          <w:color w:val="1f1f1f"/>
          <w:rtl w:val="0"/>
        </w:rPr>
        <w:t xml:space="preserve"> es superior a BERT en la representación de términos OOV (</w:t>
      </w:r>
      <w:r w:rsidDel="00000000" w:rsidR="00000000" w:rsidRPr="00000000">
        <w:rPr>
          <w:rFonts w:ascii="Arial" w:cs="Arial" w:eastAsia="Arial" w:hAnsi="Arial"/>
          <w:i w:val="1"/>
          <w:iCs w:val="1"/>
          <w:color w:val="1f1f1f"/>
          <w:rtl w:val="0"/>
        </w:rPr>
        <w:t xml:space="preserve">Out-Of-Vocabulary</w:t>
      </w:r>
      <w:r w:rsidDel="00000000" w:rsidR="00000000" w:rsidRPr="00000000">
        <w:rPr>
          <w:rFonts w:ascii="Arial" w:cs="Arial" w:eastAsia="Arial" w:hAnsi="Arial"/>
          <w:color w:val="1f1f1f"/>
          <w:rtl w:val="0"/>
        </w:rPr>
        <w:t xml:space="preserve">) debido a su arquitectura basada en n-gramas de caracteres. Benchmarks en tweets y descripciones cortas muestran que fastText alcanza una exactitud del 89% con recursos computacionales mínimos, siendo ideal para CPUs en Google Colab.</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 Sistema 3: Sentence-Transformers (MiniLM / SBERT)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Modelos como all-MiniLM-L6-v2 ofrecen un equilibrio óptimo entre calidad de embeddings y eficiencia computacional. Aunque modelos específicos como </w:t>
      </w:r>
      <w:r w:rsidDel="00000000" w:rsidR="00000000" w:rsidRPr="00000000">
        <w:rPr>
          <w:rFonts w:ascii="Arial" w:cs="Arial" w:eastAsia="Arial" w:hAnsi="Arial"/>
          <w:b w:val="1"/>
          <w:bCs w:val="1"/>
          <w:color w:val="1f1f1f"/>
          <w:rtl w:val="0"/>
        </w:rPr>
        <w:t xml:space="preserve">Ditto</w:t>
      </w:r>
      <w:r w:rsidDel="00000000" w:rsidR="00000000" w:rsidRPr="00000000">
        <w:rPr>
          <w:rFonts w:ascii="Arial" w:cs="Arial" w:eastAsia="Arial" w:hAnsi="Arial"/>
          <w:color w:val="1f1f1f"/>
          <w:rtl w:val="0"/>
        </w:rPr>
        <w:t xml:space="preserve"> logran los mejores resultados en Entity Matching (F1 = 90.18%), requieren inyección de conocimiento de dominio para superar a los baselines estándar.</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En e-commerce de habla hispana, estos sistemas han alcanzado un F1 cercano al 80%, marcando un hito en la consolidación del matching en español.</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3.4 Entity Resolution y Product Matching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matching de productos enfrenta el reto de los "hard negatives" (e.g., iPhone 12 vs iPhone 15), donde la diferencia léxica es mínima pero la entidad es distinta. Las investigaciones recomiendan el uso de </w:t>
      </w:r>
      <w:r w:rsidDel="00000000" w:rsidR="00000000" w:rsidRPr="00000000">
        <w:rPr>
          <w:rFonts w:ascii="Arial" w:cs="Arial" w:eastAsia="Arial" w:hAnsi="Arial"/>
          <w:b w:val="1"/>
          <w:bCs w:val="1"/>
          <w:color w:val="1f1f1f"/>
          <w:rtl w:val="0"/>
        </w:rPr>
        <w:t xml:space="preserve">bloqueo (blocking)</w:t>
      </w:r>
      <w:r w:rsidDel="00000000" w:rsidR="00000000" w:rsidRPr="00000000">
        <w:rPr>
          <w:rFonts w:ascii="Arial" w:cs="Arial" w:eastAsia="Arial" w:hAnsi="Arial"/>
          <w:color w:val="1f1f1f"/>
          <w:rtl w:val="0"/>
        </w:rPr>
        <w:t xml:space="preserve"> mediante filtros de categoría para reducir el espacio de búsqueda de trillones de comparaciones a millones, mejorando la escalabilidad.</w:t>
      </w:r>
    </w:p>
    <w:p w:rsidR="00000000" w:rsidDel="00000000" w:rsidP="00000000" w:rsidRDefault="00000000" w:rsidRPr="00000000" w14:paraId="0000000F">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Soluciones existentes en el mercado</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Solución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Precisión de Campo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Precisión de Línea (Item)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Observación Técnica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Azure AI Document Intelligence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93%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87%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Líder en manejo de layouts complejos y tablas anidadas.</w:t>
            </w:r>
            <w:r w:rsidDel="00000000" w:rsidR="00000000" w:rsidRPr="00000000">
              <w:rPr>
                <w:rFonts w:ascii="Arial" w:cs="Arial" w:eastAsia="Arial" w:hAnsi="Arial"/>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AWS Textract (AnalyzeExpense)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78%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Alta fiabilidad en campos predecibles, pero limitada capacidad semántica.</w:t>
            </w:r>
            <w:r w:rsidDel="00000000" w:rsidR="00000000" w:rsidRPr="00000000">
              <w:rPr>
                <w:rFonts w:ascii="Arial" w:cs="Arial" w:eastAsia="Arial" w:hAnsi="Arial"/>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Google Document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Deficiencia crítica: combina atributos de línea en un solo string no estructurado.</w:t>
            </w:r>
            <w:r w:rsidDel="00000000" w:rsidR="00000000" w:rsidRPr="00000000">
              <w:rPr>
                <w:rFonts w:ascii="Arial" w:cs="Arial" w:eastAsia="Arial" w:hAnsi="Arial"/>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Rossum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&gt;95%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Enfoque cognitivo con fuerte integración de validación humana.</w:t>
            </w:r>
            <w:r w:rsidDel="00000000" w:rsidR="00000000" w:rsidRPr="00000000">
              <w:rPr>
                <w:rFonts w:ascii="Arial" w:cs="Arial" w:eastAsia="Arial" w:hAnsi="Arial"/>
                <w:color w:val="444746"/>
                <w:sz w:val="24"/>
                <w:szCs w:val="24"/>
                <w:vertAlign w:val="superscript"/>
                <w:rtl w:val="0"/>
              </w:rPr>
              <w:t xml:space="preserve">15</w:t>
            </w:r>
          </w:p>
        </w:tc>
      </w:tr>
    </w:tbl>
    <w:p w:rsidR="00000000" w:rsidDel="00000000" w:rsidP="00000000" w:rsidRDefault="00000000" w:rsidRPr="00000000" w14:paraId="00000025">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Comparativa profunda entre los 3 sistemas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Dimensión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Sistema 1 (SVM/TF-IDF)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Sistema 2 (fastText)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Sistema 3 (Hybrid SBERT)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Fundamento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Frecuencia léxica </w:t>
            </w:r>
            <w:r w:rsidDel="00000000" w:rsidR="00000000" w:rsidRPr="00000000">
              <w:rPr>
                <w:rFonts w:ascii="Arial" w:cs="Arial" w:eastAsia="Arial" w:hAnsi="Arial"/>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N-gramas de carácter </w:t>
            </w:r>
            <w:r w:rsidDel="00000000" w:rsidR="00000000" w:rsidRPr="00000000">
              <w:rPr>
                <w:rFonts w:ascii="Arial" w:cs="Arial" w:eastAsia="Arial" w:hAnsi="Arial"/>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Semántica contextual </w:t>
            </w:r>
            <w:r w:rsidDel="00000000" w:rsidR="00000000" w:rsidRPr="00000000">
              <w:rPr>
                <w:rFonts w:ascii="Arial" w:cs="Arial" w:eastAsia="Arial" w:hAnsi="Arial"/>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Inferencia CPU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&lt;1 ms </w:t>
            </w:r>
            <w:r w:rsidDel="00000000" w:rsidR="00000000" w:rsidRPr="00000000">
              <w:rPr>
                <w:rFonts w:ascii="Arial" w:cs="Arial" w:eastAsia="Arial" w:hAnsi="Arial"/>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~1-5 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&gt;10 ms </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Abreviaturas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Débil (requiere fuzzy)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Muy fuerte </w:t>
            </w:r>
            <w:r w:rsidDel="00000000" w:rsidR="00000000" w:rsidRPr="00000000">
              <w:rPr>
                <w:rFonts w:ascii="Arial" w:cs="Arial" w:eastAsia="Arial" w:hAnsi="Arial"/>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Media/Alta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Paráfrasis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Muy débil </w:t>
            </w:r>
            <w:r w:rsidDel="00000000" w:rsidR="00000000" w:rsidRPr="00000000">
              <w:rPr>
                <w:rFonts w:ascii="Arial" w:cs="Arial" w:eastAsia="Arial" w:hAnsi="Arial"/>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Excelente </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Viabilidad Colab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Total (mínima 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Total </w:t>
            </w:r>
            <w:r w:rsidDel="00000000" w:rsidR="00000000" w:rsidRPr="00000000">
              <w:rPr>
                <w:rFonts w:ascii="Arial" w:cs="Arial" w:eastAsia="Arial" w:hAnsi="Arial"/>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Limitada (GPU opcional) </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Interpretabilidad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Alta (Coeficientes)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Baja (Black-box) </w:t>
            </w:r>
            <w:r w:rsidDel="00000000" w:rsidR="00000000" w:rsidRPr="00000000">
              <w:rPr>
                <w:rFonts w:ascii="Arial" w:cs="Arial" w:eastAsia="Arial" w:hAnsi="Arial"/>
                <w:color w:val="444746"/>
                <w:sz w:val="24"/>
                <w:szCs w:val="24"/>
                <w:vertAlign w:val="superscript"/>
                <w:rtl w:val="0"/>
              </w:rPr>
              <w:t xml:space="preserve">10</w:t>
            </w:r>
          </w:p>
        </w:tc>
      </w:tr>
    </w:tbl>
    <w:p w:rsidR="00000000" w:rsidDel="00000000" w:rsidP="00000000" w:rsidRDefault="00000000" w:rsidRPr="00000000" w14:paraId="00000043">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Fundamentos teóricos y de negocio aplicados</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6.1 Normativa FSE+ y Productos Prohibidos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sistema debe operacionalizar las restricciones del </w:t>
      </w:r>
      <w:r w:rsidDel="00000000" w:rsidR="00000000" w:rsidRPr="00000000">
        <w:rPr>
          <w:rFonts w:ascii="Arial" w:cs="Arial" w:eastAsia="Arial" w:hAnsi="Arial"/>
          <w:b w:val="1"/>
          <w:bCs w:val="1"/>
          <w:color w:val="1f1f1f"/>
          <w:rtl w:val="0"/>
        </w:rPr>
        <w:t xml:space="preserve">Reglamento (UE) 2021/1057</w:t>
      </w:r>
      <w:r w:rsidDel="00000000" w:rsidR="00000000" w:rsidRPr="00000000">
        <w:rPr>
          <w:rFonts w:ascii="Arial" w:cs="Arial" w:eastAsia="Arial" w:hAnsi="Arial"/>
          <w:color w:val="1f1f1f"/>
          <w:rtl w:val="0"/>
        </w:rPr>
        <w:t xml:space="preserve">. Se consideran </w:t>
      </w:r>
      <w:r w:rsidDel="00000000" w:rsidR="00000000" w:rsidRPr="00000000">
        <w:rPr>
          <w:rFonts w:ascii="Arial" w:cs="Arial" w:eastAsia="Arial" w:hAnsi="Arial"/>
          <w:b w:val="1"/>
          <w:bCs w:val="1"/>
          <w:color w:val="1f1f1f"/>
          <w:rtl w:val="0"/>
        </w:rPr>
        <w:t xml:space="preserve">NO PERMITIDOS</w:t>
      </w:r>
      <w:r w:rsidDel="00000000" w:rsidR="00000000" w:rsidRPr="00000000">
        <w:rPr>
          <w:rFonts w:ascii="Arial" w:cs="Arial" w:eastAsia="Arial" w:hAnsi="Arial"/>
          <w:color w:val="1f1f1f"/>
          <w:rtl w:val="0"/>
        </w:rPr>
        <w:t xml:space="preserve">: bebidas alcohólicas, refrescos con azúcar/edulcorantes añadidos y bollería industrial. Los productos permitidos incluyen alimentos básicos (carnes, pescados, lácteos) e higiene básica (pañales, higiene femenina).</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6.2 Human-in-the-loop y Umbrales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automatización total es arriesgada en auditoría financiera. Se recomienda un </w:t>
      </w:r>
      <w:r w:rsidDel="00000000" w:rsidR="00000000" w:rsidRPr="00000000">
        <w:rPr>
          <w:rFonts w:ascii="Arial" w:cs="Arial" w:eastAsia="Arial" w:hAnsi="Arial"/>
          <w:b w:val="1"/>
          <w:bCs w:val="1"/>
          <w:color w:val="1f1f1f"/>
          <w:rtl w:val="0"/>
        </w:rPr>
        <w:t xml:space="preserve">umbral de confianza (threshold)</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&gt;0.95:</w:t>
      </w:r>
      <w:r w:rsidDel="00000000" w:rsidR="00000000" w:rsidRPr="00000000">
        <w:rPr>
          <w:rFonts w:ascii="Arial" w:cs="Arial" w:eastAsia="Arial" w:hAnsi="Arial"/>
          <w:color w:val="1f1f1f"/>
          <w:rtl w:val="0"/>
        </w:rPr>
        <w:t xml:space="preserve"> Validación automática (bajo riesgo de falso positivo).</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0.75-0.95:</w:t>
      </w:r>
      <w:r w:rsidDel="00000000" w:rsidR="00000000" w:rsidRPr="00000000">
        <w:rPr>
          <w:rFonts w:ascii="Arial" w:cs="Arial" w:eastAsia="Arial" w:hAnsi="Arial"/>
          <w:color w:val="1f1f1f"/>
          <w:rtl w:val="0"/>
        </w:rPr>
        <w:t xml:space="preserve"> Revisión humana asistida (casos ambiguos o paráfrasis).</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&lt;0.75:</w:t>
      </w:r>
      <w:r w:rsidDel="00000000" w:rsidR="00000000" w:rsidRPr="00000000">
        <w:rPr>
          <w:rFonts w:ascii="Arial" w:cs="Arial" w:eastAsia="Arial" w:hAnsi="Arial"/>
          <w:color w:val="1f1f1f"/>
          <w:rtl w:val="0"/>
        </w:rPr>
        <w:t xml:space="preserve"> Rechazo o revisión obligatoria.</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4B">
      <w:pPr>
        <w:pStyle w:val="Heading1"/>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Recomendación final razonada</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 recomienda el desarrollo de un </w:t>
      </w:r>
      <w:r w:rsidDel="00000000" w:rsidR="00000000" w:rsidRPr="00000000">
        <w:rPr>
          <w:rFonts w:ascii="Arial" w:cs="Arial" w:eastAsia="Arial" w:hAnsi="Arial"/>
          <w:b w:val="1"/>
          <w:bCs w:val="1"/>
          <w:color w:val="1f1f1f"/>
          <w:rtl w:val="0"/>
        </w:rPr>
        <w:t xml:space="preserve">SISTEMA HÍBRIDO (Sparse + Dense)</w:t>
      </w:r>
      <w:r w:rsidDel="00000000" w:rsidR="00000000" w:rsidRPr="00000000">
        <w:rPr>
          <w:rFonts w:ascii="Arial" w:cs="Arial" w:eastAsia="Arial" w:hAnsi="Arial"/>
          <w:color w:val="1f1f1f"/>
          <w:rtl w:val="0"/>
        </w:rPr>
        <w:t xml:space="preserve"> como arquitectura principal del TFM.</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Justificación técnica:</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Sinergia:</w:t>
      </w:r>
      <w:r w:rsidDel="00000000" w:rsidR="00000000" w:rsidRPr="00000000">
        <w:rPr>
          <w:rFonts w:ascii="Arial" w:cs="Arial" w:eastAsia="Arial" w:hAnsi="Arial"/>
          <w:color w:val="1f1f1f"/>
          <w:rtl w:val="0"/>
        </w:rPr>
        <w:t xml:space="preserve"> La concatenación de vectores TF-IDF reducidos con embeddings de SBERT (all-MiniLM-L6-v2) eleva el F1 de 0.871 a 0.903, capturando tanto la precisión léxica (marcas, códigos) como la semántica (sinónimos).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Eficiencia en Colab:</w:t>
      </w:r>
      <w:r w:rsidDel="00000000" w:rsidR="00000000" w:rsidRPr="00000000">
        <w:rPr>
          <w:rFonts w:ascii="Arial" w:cs="Arial" w:eastAsia="Arial" w:hAnsi="Arial"/>
          <w:color w:val="1f1f1f"/>
          <w:rtl w:val="0"/>
        </w:rPr>
        <w:t xml:space="preserve"> Esta arquitectura permite pre-computar embeddings en CPU en "pocos minutos" para datasets de tamaño medio, evitando la dependencia de GPUs costosas.</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Rendimiento en Batch:</w:t>
      </w:r>
      <w:r w:rsidDel="00000000" w:rsidR="00000000" w:rsidRPr="00000000">
        <w:rPr>
          <w:rFonts w:ascii="Arial" w:cs="Arial" w:eastAsia="Arial" w:hAnsi="Arial"/>
          <w:color w:val="1f1f1f"/>
          <w:rtl w:val="0"/>
        </w:rPr>
        <w:t xml:space="preserve"> Para la comparación de millones de registros, se debe utilizar RapidFuzz con su función cdist, que es hasta 1000 veces más rápida que las implementaciones estándar de Python.</w:t>
      </w:r>
    </w:p>
    <w:p w:rsidR="00000000" w:rsidDel="00000000" w:rsidP="00000000" w:rsidRDefault="00000000" w:rsidRPr="00000000" w14:paraId="00000051">
      <w:pPr>
        <w:pStyle w:val="Heading1"/>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Texto reutilizable directamente para el TFM</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8.1 Párrafo justificando la elección del modelo híbrido</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superioridad de los enfoques híbridos en el dominio de la clasificación de facturas reside en su capacidad para mitigar las debilidades individuales de las representaciones dispersas y densas. Mientras que TF-IDF captura con precisión términos técnicos unívocos y jargon específico del retail, SBERT compensa la rigidez léxica permitiendo el reconocimiento de variantes semánticas y paráfrasis que los modelos lineales tradicionales suelen omitir. Esta combinación no solo mejora las métricas globales de F1, sino que preserva la viabilidad técnica en entornos de hardware restringido como Google Colab.</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8.2 Párrafo sobre la robustez frente a ruido (Fichero 03)</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Fichero 03 presenta una alta incidencia de términos truncados y errores tipográficos que invalidan los sistemas de matching exacto. La adopción de técnicas de subpalabras, integradas nativamente en fastText o mediante el pre-procesamiento con RapidFuzz, permite al sistema operar con una resiliencia del 98% ante ruidos moderados. Esta robustez es imperativa para garantizar que el control de caja detecte correctamente productos excluidos por la normativa FSE+ como el alcohol o el azúcar añadido.</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6">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 Bibliografía comentada</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Santos Kieckbusch, D. (2022). SCAN-NF: a Machine Learning System for Invoice Product Transaction Classification.</w:t>
      </w:r>
      <w:r w:rsidDel="00000000" w:rsidR="00000000" w:rsidRPr="00000000">
        <w:rPr>
          <w:rFonts w:ascii="Arial" w:cs="Arial" w:eastAsia="Arial" w:hAnsi="Arial"/>
          <w:color w:val="1f1f1f"/>
          <w:rtl w:val="0"/>
        </w:rPr>
        <w:t xml:space="preserve"> Universidad de Brasilia..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Fundamental para justificar SVM frente a CNN en auditoría fiscal.</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Paganelli, M., et al. (2024). How Transformers Are Revolutionizing Entity Matching.</w:t>
      </w:r>
      <w:r w:rsidDel="00000000" w:rsidR="00000000" w:rsidRPr="00000000">
        <w:rPr>
          <w:rFonts w:ascii="Arial" w:cs="Arial" w:eastAsia="Arial" w:hAnsi="Arial"/>
          <w:color w:val="1f1f1f"/>
          <w:rtl w:val="0"/>
        </w:rPr>
        <w:t xml:space="preserve"> CEUR-WS..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Proporciona benchmarks actualizados de SBERT y Ditto.</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Preprints (2025). Hybrid TF-IDF + SBERT feature fusion for paraphrase detection.</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Base técnica para la recomendación del modelo híbrido.</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INAP (2025). Programa FSE+ de Asistencia Material Básica: Productos Subvencionables.</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Marco regulatorio para la definición de clases (Permitido/No Permitido).</w:t>
      </w:r>
    </w:p>
    <w:p w:rsidR="00000000" w:rsidDel="00000000" w:rsidP="00000000" w:rsidRDefault="00000000" w:rsidRPr="00000000" w14:paraId="0000005B">
      <w:pPr>
        <w:pStyle w:val="Heading1"/>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 Anexo: Estrategia Experimental</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Pre-procesamiento:</w:t>
      </w:r>
      <w:r w:rsidDel="00000000" w:rsidR="00000000" w:rsidRPr="00000000">
        <w:rPr>
          <w:rFonts w:ascii="Arial" w:cs="Arial" w:eastAsia="Arial" w:hAnsi="Arial"/>
          <w:color w:val="1f1f1f"/>
          <w:rtl w:val="0"/>
        </w:rPr>
        <w:t xml:space="preserve"> Normalización (lowercase, strip) y corrección con RapidFuzz (umbral 0.90).</w:t>
      </w:r>
    </w:p>
    <w:p w:rsidR="00000000" w:rsidDel="00000000" w:rsidP="00000000" w:rsidRDefault="00000000" w:rsidRPr="00000000" w14:paraId="0000005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Blocking:</w:t>
      </w:r>
      <w:r w:rsidDel="00000000" w:rsidR="00000000" w:rsidRPr="00000000">
        <w:rPr>
          <w:rFonts w:ascii="Arial" w:cs="Arial" w:eastAsia="Arial" w:hAnsi="Arial"/>
          <w:color w:val="1f1f1f"/>
          <w:rtl w:val="0"/>
        </w:rPr>
        <w:t xml:space="preserve"> Filtrado inicial por EAN o jerarquía FAMILIA/GRUPO para reducir la carga computacional.</w:t>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Fusión de Características:</w:t>
      </w:r>
      <w:r w:rsidDel="00000000" w:rsidR="00000000" w:rsidRPr="00000000">
        <w:rPr>
          <w:rFonts w:ascii="Arial" w:cs="Arial" w:eastAsia="Arial" w:hAnsi="Arial"/>
          <w:color w:val="1f1f1f"/>
          <w:rtl w:val="0"/>
        </w:rPr>
        <w:t xml:space="preserve"> Generar vector TF-IDF (1000 d) + Embeddings MiniLM (384 d).</w:t>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Clasificación:</w:t>
      </w:r>
      <w:r w:rsidDel="00000000" w:rsidR="00000000" w:rsidRPr="00000000">
        <w:rPr>
          <w:rFonts w:ascii="Arial" w:cs="Arial" w:eastAsia="Arial" w:hAnsi="Arial"/>
          <w:color w:val="1f1f1f"/>
          <w:rtl w:val="0"/>
        </w:rPr>
        <w:t xml:space="preserve"> Entrenar LinearSVC con balanceo de clases (debido a la baja frecuencia de productos prohibidos).</w:t>
      </w:r>
    </w:p>
    <w:p w:rsidR="00000000" w:rsidDel="00000000" w:rsidP="00000000" w:rsidRDefault="00000000" w:rsidRPr="00000000" w14:paraId="00000060">
      <w:pPr>
        <w:pStyle w:val="Heading4"/>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Fuentes citadas</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Programa del Fondo Social Europeo Plus de Asistencia Material ..., acceso: marzo 24, 2026, </w:t>
      </w:r>
      <w:hyperlink r:id="rId6">
        <w:r w:rsidDel="00000000" w:rsidR="00000000" w:rsidRPr="00000000">
          <w:rPr>
            <w:rFonts w:ascii="Arial" w:cs="Arial" w:eastAsia="Arial" w:hAnsi="Arial"/>
            <w:color w:val="0000ee"/>
            <w:sz w:val="24"/>
            <w:szCs w:val="24"/>
            <w:u w:val="single"/>
            <w:rtl w:val="0"/>
          </w:rPr>
          <w:t xml:space="preserve">https://laadministracionaldia.inap.es/noticia.asp?id=1254299</w:t>
        </w:r>
      </w:hyperlink>
      <w:r w:rsidDel="00000000" w:rsidR="00000000" w:rsidRPr="00000000">
        <w:rPr>
          <w:rtl w:val="0"/>
        </w:rPr>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SCAN-NF: a Machine Learning System for Invoice Product ..., acceso: marzo 24, 2026, </w:t>
      </w:r>
      <w:hyperlink r:id="rId7">
        <w:r w:rsidDel="00000000" w:rsidR="00000000" w:rsidRPr="00000000">
          <w:rPr>
            <w:rFonts w:ascii="Arial" w:cs="Arial" w:eastAsia="Arial" w:hAnsi="Arial"/>
            <w:color w:val="0000ee"/>
            <w:sz w:val="24"/>
            <w:szCs w:val="24"/>
            <w:u w:val="single"/>
            <w:rtl w:val="0"/>
          </w:rPr>
          <w:t xml:space="preserve">https://repositorio.unb.br/bitstream/10482/49799/1/DiegoSantosDaSilva_DISSERT.pdf</w:t>
        </w:r>
      </w:hyperlink>
      <w:r w:rsidDel="00000000" w:rsidR="00000000" w:rsidRPr="00000000">
        <w:rPr>
          <w:rtl w:val="0"/>
        </w:rPr>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Bag-of-Words Approach for Information Extraction from Electricity Invoices - MDPI, acceso: marzo 24, 2026, </w:t>
      </w:r>
      <w:hyperlink r:id="rId8">
        <w:r w:rsidDel="00000000" w:rsidR="00000000" w:rsidRPr="00000000">
          <w:rPr>
            <w:rFonts w:ascii="Arial" w:cs="Arial" w:eastAsia="Arial" w:hAnsi="Arial"/>
            <w:color w:val="0000ee"/>
            <w:sz w:val="24"/>
            <w:szCs w:val="24"/>
            <w:u w:val="single"/>
            <w:rtl w:val="0"/>
          </w:rPr>
          <w:t xml:space="preserve">https://www.mdpi.com/2673-2688/5/4/91</w:t>
        </w:r>
      </w:hyperlink>
      <w:r w:rsidDel="00000000" w:rsidR="00000000" w:rsidRPr="00000000">
        <w:rPr>
          <w:rtl w:val="0"/>
        </w:rPr>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Hybrid TF–IDF and SBERT Approach for Enhanced Text ..., acceso: marzo 24, 2026, </w:t>
      </w:r>
      <w:hyperlink r:id="rId9">
        <w:r w:rsidDel="00000000" w:rsidR="00000000" w:rsidRPr="00000000">
          <w:rPr>
            <w:rFonts w:ascii="Arial" w:cs="Arial" w:eastAsia="Arial" w:hAnsi="Arial"/>
            <w:color w:val="0000ee"/>
            <w:sz w:val="24"/>
            <w:szCs w:val="24"/>
            <w:u w:val="single"/>
            <w:rtl w:val="0"/>
          </w:rPr>
          <w:t xml:space="preserve">https://www.preprints.org/manuscript/202510.2427</w:t>
        </w:r>
      </w:hyperlink>
      <w:r w:rsidDel="00000000" w:rsidR="00000000" w:rsidRPr="00000000">
        <w:rPr>
          <w:rtl w:val="0"/>
        </w:rPr>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Subvención Programa FSE+ de asistencia material básica - Todas las noticias - Guest - Murcia Social, acceso: marzo 24, 2026, </w:t>
      </w:r>
      <w:hyperlink r:id="rId10">
        <w:r w:rsidDel="00000000" w:rsidR="00000000" w:rsidRPr="00000000">
          <w:rPr>
            <w:rFonts w:ascii="Arial" w:cs="Arial" w:eastAsia="Arial" w:hAnsi="Arial"/>
            <w:color w:val="0000ee"/>
            <w:sz w:val="24"/>
            <w:szCs w:val="24"/>
            <w:u w:val="single"/>
            <w:rtl w:val="0"/>
          </w:rPr>
          <w:t xml:space="preserve">https://murciasocial.carm.es/-/subvencion-programa-fse-de-asistencia-material-basica</w:t>
        </w:r>
      </w:hyperlink>
      <w:r w:rsidDel="00000000" w:rsidR="00000000" w:rsidRPr="00000000">
        <w:rPr>
          <w:rtl w:val="0"/>
        </w:rPr>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Programa FSE+ Empleo Juvenil 2021-2027 MANUAL PARA LA GESTIÓN Y JUSTIFICACIÓN DE OPERACIONES APROBADAS - Fundación INCYDE, acceso: marzo 24, 2026, </w:t>
      </w:r>
      <w:hyperlink r:id="rId11">
        <w:r w:rsidDel="00000000" w:rsidR="00000000" w:rsidRPr="00000000">
          <w:rPr>
            <w:rFonts w:ascii="Arial" w:cs="Arial" w:eastAsia="Arial" w:hAnsi="Arial"/>
            <w:color w:val="0000ee"/>
            <w:sz w:val="24"/>
            <w:szCs w:val="24"/>
            <w:u w:val="single"/>
            <w:rtl w:val="0"/>
          </w:rPr>
          <w:t xml:space="preserve">https://incyde.org/wp-content/uploads/PEJ_MANUAL-PARA-LA-GESTION-Y-JUSTIFICACION-DE-OPERACIONES-APROBADAS-Ed.02.pdf</w:t>
        </w:r>
      </w:hyperlink>
      <w:r w:rsidDel="00000000" w:rsidR="00000000" w:rsidRPr="00000000">
        <w:rPr>
          <w:rtl w:val="0"/>
        </w:rPr>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Product Matching Lessons and Recommendations from ... - SciSpace, acceso: marzo 24, 2026, </w:t>
      </w:r>
      <w:hyperlink r:id="rId12">
        <w:r w:rsidDel="00000000" w:rsidR="00000000" w:rsidRPr="00000000">
          <w:rPr>
            <w:rFonts w:ascii="Arial" w:cs="Arial" w:eastAsia="Arial" w:hAnsi="Arial"/>
            <w:color w:val="0000ee"/>
            <w:sz w:val="24"/>
            <w:szCs w:val="24"/>
            <w:u w:val="single"/>
            <w:rtl w:val="0"/>
          </w:rPr>
          <w:t xml:space="preserve">https://scispace.com/pdf/product-matching-lessons-and-recommendations-from-a-real-51qyozuu3s.pdf</w:t>
        </w:r>
      </w:hyperlink>
      <w:r w:rsidDel="00000000" w:rsidR="00000000" w:rsidRPr="00000000">
        <w:rPr>
          <w:rtl w:val="0"/>
        </w:rPr>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Short text classification using TF-IDF features and fast text learner - CEUR-WS.org, acceso: marzo 24, 2026, </w:t>
      </w:r>
      <w:hyperlink r:id="rId13">
        <w:r w:rsidDel="00000000" w:rsidR="00000000" w:rsidRPr="00000000">
          <w:rPr>
            <w:rFonts w:ascii="Arial" w:cs="Arial" w:eastAsia="Arial" w:hAnsi="Arial"/>
            <w:color w:val="0000ee"/>
            <w:sz w:val="24"/>
            <w:szCs w:val="24"/>
            <w:u w:val="single"/>
            <w:rtl w:val="0"/>
          </w:rPr>
          <w:t xml:space="preserve">https://ceur-ws.org/Vol-3181/paper59.pdf</w:t>
        </w:r>
      </w:hyperlink>
      <w:r w:rsidDel="00000000" w:rsidR="00000000" w:rsidRPr="00000000">
        <w:rPr>
          <w:rtl w:val="0"/>
        </w:rPr>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Choosing the best architecture for your text classification task - Toloka AI, acceso: marzo 24, 2026, </w:t>
      </w:r>
      <w:hyperlink r:id="rId14">
        <w:r w:rsidDel="00000000" w:rsidR="00000000" w:rsidRPr="00000000">
          <w:rPr>
            <w:rFonts w:ascii="Arial" w:cs="Arial" w:eastAsia="Arial" w:hAnsi="Arial"/>
            <w:color w:val="0000ee"/>
            <w:sz w:val="24"/>
            <w:szCs w:val="24"/>
            <w:u w:val="single"/>
            <w:rtl w:val="0"/>
          </w:rPr>
          <w:t xml:space="preserve">https://toloka.ai/blog/choosing-architecture-for-text-classification/</w:t>
        </w:r>
      </w:hyperlink>
      <w:r w:rsidDel="00000000" w:rsidR="00000000" w:rsidRPr="00000000">
        <w:rPr>
          <w:rtl w:val="0"/>
        </w:rPr>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Transformers Are Revolutionizing Entity ... - CEUR-WS.org, acceso: marzo 24, 2026, </w:t>
      </w:r>
      <w:hyperlink r:id="rId15">
        <w:r w:rsidDel="00000000" w:rsidR="00000000" w:rsidRPr="00000000">
          <w:rPr>
            <w:rFonts w:ascii="Arial" w:cs="Arial" w:eastAsia="Arial" w:hAnsi="Arial"/>
            <w:color w:val="0000ee"/>
            <w:sz w:val="24"/>
            <w:szCs w:val="24"/>
            <w:u w:val="single"/>
            <w:rtl w:val="0"/>
          </w:rPr>
          <w:t xml:space="preserve">https://ceur-ws.org/Vol-3741/paper55.pdf</w:t>
        </w:r>
      </w:hyperlink>
      <w:r w:rsidDel="00000000" w:rsidR="00000000" w:rsidRPr="00000000">
        <w:rPr>
          <w:rtl w:val="0"/>
        </w:rPr>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Transformers Are Revolutionizing Entity Matching - SEBD 2024, acceso: marzo 24, 2026, </w:t>
      </w:r>
      <w:hyperlink r:id="rId16">
        <w:r w:rsidDel="00000000" w:rsidR="00000000" w:rsidRPr="00000000">
          <w:rPr>
            <w:rFonts w:ascii="Arial" w:cs="Arial" w:eastAsia="Arial" w:hAnsi="Arial"/>
            <w:color w:val="0000ee"/>
            <w:sz w:val="24"/>
            <w:szCs w:val="24"/>
            <w:u w:val="single"/>
            <w:rtl w:val="0"/>
          </w:rPr>
          <w:t xml:space="preserve">https://sebd2024.unica.it/papers/paper55.pdf</w:t>
        </w:r>
      </w:hyperlink>
      <w:r w:rsidDel="00000000" w:rsidR="00000000" w:rsidRPr="00000000">
        <w:rPr>
          <w:rtl w:val="0"/>
        </w:rPr>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AWS Textract vs Google, Azure, and GPT-4o: Invoice Extraction ..., acceso: marzo 24, 2026, </w:t>
      </w:r>
      <w:hyperlink r:id="rId17">
        <w:r w:rsidDel="00000000" w:rsidR="00000000" w:rsidRPr="00000000">
          <w:rPr>
            <w:rFonts w:ascii="Arial" w:cs="Arial" w:eastAsia="Arial" w:hAnsi="Arial"/>
            <w:color w:val="0000ee"/>
            <w:sz w:val="24"/>
            <w:szCs w:val="24"/>
            <w:u w:val="single"/>
            <w:rtl w:val="0"/>
          </w:rPr>
          <w:t xml:space="preserve">https://www.businesswaretech.com/blog/research-best-ai-services-for-automatic-invoice-processing</w:t>
        </w:r>
      </w:hyperlink>
      <w:r w:rsidDel="00000000" w:rsidR="00000000" w:rsidRPr="00000000">
        <w:rPr>
          <w:rtl w:val="0"/>
        </w:rPr>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Towards Analysing Invoices and Receipts with Amazon Textract - arXiv, acceso: marzo 24, 2026, </w:t>
      </w:r>
      <w:hyperlink r:id="rId18">
        <w:r w:rsidDel="00000000" w:rsidR="00000000" w:rsidRPr="00000000">
          <w:rPr>
            <w:rFonts w:ascii="Arial" w:cs="Arial" w:eastAsia="Arial" w:hAnsi="Arial"/>
            <w:color w:val="0000ee"/>
            <w:sz w:val="24"/>
            <w:szCs w:val="24"/>
            <w:u w:val="single"/>
            <w:rtl w:val="0"/>
          </w:rPr>
          <w:t xml:space="preserve">https://arxiv.org/html/2512.19958v1</w:t>
        </w:r>
      </w:hyperlink>
      <w:r w:rsidDel="00000000" w:rsidR="00000000" w:rsidRPr="00000000">
        <w:rPr>
          <w:rtl w:val="0"/>
        </w:rPr>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Research: AI Models Invoice Processing Benchmark - Businessware Technologies, acceso: marzo 24, 2026, </w:t>
      </w:r>
      <w:hyperlink r:id="rId19">
        <w:r w:rsidDel="00000000" w:rsidR="00000000" w:rsidRPr="00000000">
          <w:rPr>
            <w:rFonts w:ascii="Arial" w:cs="Arial" w:eastAsia="Arial" w:hAnsi="Arial"/>
            <w:color w:val="0000ee"/>
            <w:sz w:val="24"/>
            <w:szCs w:val="24"/>
            <w:u w:val="single"/>
            <w:rtl w:val="0"/>
          </w:rPr>
          <w:t xml:space="preserve">https://www.businesswaretech.com/blog/research-ai-models-invoice-processing-benchmark</w:t>
        </w:r>
      </w:hyperlink>
      <w:r w:rsidDel="00000000" w:rsidR="00000000" w:rsidRPr="00000000">
        <w:rPr>
          <w:rtl w:val="0"/>
        </w:rPr>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Top 10 Best Invoice Data Extraction Software of 2026, acceso: marzo 24, 2026, </w:t>
      </w:r>
      <w:hyperlink r:id="rId20">
        <w:r w:rsidDel="00000000" w:rsidR="00000000" w:rsidRPr="00000000">
          <w:rPr>
            <w:rFonts w:ascii="Arial" w:cs="Arial" w:eastAsia="Arial" w:hAnsi="Arial"/>
            <w:color w:val="0000ee"/>
            <w:sz w:val="24"/>
            <w:szCs w:val="24"/>
            <w:u w:val="single"/>
            <w:rtl w:val="0"/>
          </w:rPr>
          <w:t xml:space="preserve">https://gitnux.org/best/invoice-data-extraction-software/</w:t>
        </w:r>
      </w:hyperlink>
      <w:r w:rsidDel="00000000" w:rsidR="00000000" w:rsidRPr="00000000">
        <w:rPr>
          <w:rtl w:val="0"/>
        </w:rPr>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Deep Entity Matching with Pre-Trained Language Models | by Megagon Labs - Medium, acceso: marzo 24, 2026, </w:t>
      </w:r>
      <w:hyperlink r:id="rId21">
        <w:r w:rsidDel="00000000" w:rsidR="00000000" w:rsidRPr="00000000">
          <w:rPr>
            <w:rFonts w:ascii="Arial" w:cs="Arial" w:eastAsia="Arial" w:hAnsi="Arial"/>
            <w:color w:val="0000ee"/>
            <w:sz w:val="24"/>
            <w:szCs w:val="24"/>
            <w:u w:val="single"/>
            <w:rtl w:val="0"/>
          </w:rPr>
          <w:t xml:space="preserve">https://megagonlabs.medium.com/deep-entity-matching-with-pre-trained-language-models-f4b42f1d1759</w:t>
        </w:r>
      </w:hyperlink>
      <w:r w:rsidDel="00000000" w:rsidR="00000000" w:rsidRPr="00000000">
        <w:rPr>
          <w:rtl w:val="0"/>
        </w:rPr>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Comparing Popular Embedding Models: Choosing the Right One for Your Use Case, acceso: marzo 24, 2026, </w:t>
      </w:r>
      <w:hyperlink r:id="rId22">
        <w:r w:rsidDel="00000000" w:rsidR="00000000" w:rsidRPr="00000000">
          <w:rPr>
            <w:rFonts w:ascii="Arial" w:cs="Arial" w:eastAsia="Arial" w:hAnsi="Arial"/>
            <w:color w:val="0000ee"/>
            <w:sz w:val="24"/>
            <w:szCs w:val="24"/>
            <w:u w:val="single"/>
            <w:rtl w:val="0"/>
          </w:rPr>
          <w:t xml:space="preserve">https://dev.to/simplr_sh/comparing-popular-embedding-models-choosing-the-right-one-for-your-use-case-43p1</w:t>
        </w:r>
      </w:hyperlink>
      <w:r w:rsidDel="00000000" w:rsidR="00000000" w:rsidRPr="00000000">
        <w:rPr>
          <w:rtl w:val="0"/>
        </w:rPr>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Give Me 15 Minutes and I will Show You How to Clean Your Messiest Dataset - Medium, acceso: marzo 24, 2026, </w:t>
      </w:r>
      <w:hyperlink r:id="rId23">
        <w:r w:rsidDel="00000000" w:rsidR="00000000" w:rsidRPr="00000000">
          <w:rPr>
            <w:rFonts w:ascii="Arial" w:cs="Arial" w:eastAsia="Arial" w:hAnsi="Arial"/>
            <w:color w:val="0000ee"/>
            <w:sz w:val="24"/>
            <w:szCs w:val="24"/>
            <w:u w:val="single"/>
            <w:rtl w:val="0"/>
          </w:rPr>
          <w:t xml:space="preserve">https://medium.com/@BIWave/give-me-15-minutes-and-i-will-show-you-how-to-clean-your-messiest-dataset-2212b15395ad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nux.org/best/invoice-data-extraction-software/" TargetMode="External"/><Relationship Id="rId11" Type="http://schemas.openxmlformats.org/officeDocument/2006/relationships/hyperlink" Target="https://incyde.org/wp-content/uploads/PEJ_MANUAL-PARA-LA-GESTION-Y-JUSTIFICACION-DE-OPERACIONES-APROBADAS-Ed.02.pdf" TargetMode="External"/><Relationship Id="rId22" Type="http://schemas.openxmlformats.org/officeDocument/2006/relationships/hyperlink" Target="https://dev.to/simplr_sh/comparing-popular-embedding-models-choosing-the-right-one-for-your-use-case-43p1" TargetMode="External"/><Relationship Id="rId10" Type="http://schemas.openxmlformats.org/officeDocument/2006/relationships/hyperlink" Target="https://murciasocial.carm.es/-/subvencion-programa-fse-de-asistencia-material-basica" TargetMode="External"/><Relationship Id="rId21" Type="http://schemas.openxmlformats.org/officeDocument/2006/relationships/hyperlink" Target="https://megagonlabs.medium.com/deep-entity-matching-with-pre-trained-language-models-f4b42f1d1759" TargetMode="External"/><Relationship Id="rId13" Type="http://schemas.openxmlformats.org/officeDocument/2006/relationships/hyperlink" Target="https://ceur-ws.org/Vol-3181/paper59.pdf" TargetMode="External"/><Relationship Id="rId12" Type="http://schemas.openxmlformats.org/officeDocument/2006/relationships/hyperlink" Target="https://scispace.com/pdf/product-matching-lessons-and-recommendations-from-a-real-51qyozuu3s.pdf" TargetMode="External"/><Relationship Id="rId23" Type="http://schemas.openxmlformats.org/officeDocument/2006/relationships/hyperlink" Target="https://medium.com/@BIWave/give-me-15-minutes-and-i-will-show-you-how-to-clean-your-messiest-dataset-2212b15395a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reprints.org/manuscript/202510.2427" TargetMode="External"/><Relationship Id="rId15" Type="http://schemas.openxmlformats.org/officeDocument/2006/relationships/hyperlink" Target="https://ceur-ws.org/Vol-3741/paper55.pdf" TargetMode="External"/><Relationship Id="rId14" Type="http://schemas.openxmlformats.org/officeDocument/2006/relationships/hyperlink" Target="https://toloka.ai/blog/choosing-architecture-for-text-classification/" TargetMode="External"/><Relationship Id="rId17" Type="http://schemas.openxmlformats.org/officeDocument/2006/relationships/hyperlink" Target="https://www.businesswaretech.com/blog/research-best-ai-services-for-automatic-invoice-processing" TargetMode="External"/><Relationship Id="rId16" Type="http://schemas.openxmlformats.org/officeDocument/2006/relationships/hyperlink" Target="https://sebd2024.unica.it/papers/paper55.pdf" TargetMode="External"/><Relationship Id="rId5" Type="http://schemas.openxmlformats.org/officeDocument/2006/relationships/styles" Target="styles.xml"/><Relationship Id="rId19" Type="http://schemas.openxmlformats.org/officeDocument/2006/relationships/hyperlink" Target="https://www.businesswaretech.com/blog/research-ai-models-invoice-processing-benchmark" TargetMode="External"/><Relationship Id="rId6" Type="http://schemas.openxmlformats.org/officeDocument/2006/relationships/hyperlink" Target="https://laadministracionaldia.inap.es/noticia.asp?id=1254299" TargetMode="External"/><Relationship Id="rId18" Type="http://schemas.openxmlformats.org/officeDocument/2006/relationships/hyperlink" Target="https://arxiv.org/html/2512.19958v1" TargetMode="External"/><Relationship Id="rId7" Type="http://schemas.openxmlformats.org/officeDocument/2006/relationships/hyperlink" Target="https://repositorio.unb.br/bitstream/10482/49799/1/DiegoSantosDaSilva_DISSERT.pdf" TargetMode="External"/><Relationship Id="rId8" Type="http://schemas.openxmlformats.org/officeDocument/2006/relationships/hyperlink" Target="https://www.mdpi.com/2673-2688/5/4/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