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Recomendación Metodológica para la Clasificación de Artículos en el Programa BÁSICO: Análisis Comparativo de Arquitecturas de NLP para Trabajos de Fin de Máster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implementación del Programa de Asistencia Material Básica (BÁSICO), enmarcado en el Fondo Social Europeo Plus (FSE+) para el periodo 2021-2027, representa un cambio de paradigma en la gestión de las ayudas sociales en España.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programa sustituye el antiguo modelo de entrega física de alimentos (FEAD) por un sistema de tarjetas monedero destinadas a la adquisición de productos de primera necesidad, tales como alimentos frescos y artículos de higiene básica.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desafío técnico fundamental que surge en este contexto, y que constituye el núcleo de la presente propuesta metodológica para un Trabajo de Fin de Máster (TFM), es la clasificación automática de los artículos reflejados en los tiques de compra o facturas. El sistema debe ser capaz de discernir entre productos elegibles (frutas, verduras, carne, pescado, higiene femenina, pañales) y productos excluidos (bebidas alcohólicas, refrescos con azúcar o gas, bollería, chucherías y productos dietéticos).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presente investigación analiza en profundidad tres arquitecturas de Procesamiento de Lenguaje Natural (PLN) para determinar cuál ofrece el mejor equilibrio entre rigor académico, viabilidad técnica y alineación con los objetivos de negocio de la administración pública.</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Contexto del Programa BÁSICO y la Necesidad de Automatización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Programa BÁSICO no es solo una transferencia monetaria; es una intervención social integral que exige una "pista de auditoría" rigurosa para justificar el gasto de los fondos públicos europeos.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Las familias beneficiarias, identificadas por los servicios sociales como unidades de convivencia con menores a cargo y en situación de privación material severa, utilizan tarjetas prepago en establecimientos autorizados.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administración debe verificar que estas compras cumplen con las especificaciones del Reglamento (UE) 2021/1057.</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problema reside en la heterogeneidad de los datos. Las descripciones de los artículos en las facturas de los supermercados son extremadamente breves, carecen de sintaxis gramatical y están plagadas de abreviaturas locales o errores tipográficos. Por ejemplo, una línea de factura puede rezar "DET. LIQ. ROPA 1.5L" o "ZUMO NAR. PACK 3". El sistema debe interpretar estas cadenas de texto para garantizar que el dinero se destina a la alimentación e higiene permitidas y no a productos prohibidos como refrescos azucarados o alcohol.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automatización de este proceso mediante Inteligencia Artificial (IA) es crítica para evitar la carga administrativa manual y garantizar la eficiencia en el control del gasto.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las Tres Propuestas Metodológicas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se desglosan y evalúan los tres sistemas propuestos para el desarrollo del TFM, integrando las evidencias recolectadas sobre su rendimiento, complejidad y adecuación al entorno de Google Colab gratuito.</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 1: Arquitectura Híbrida de Reglas, TF-IDF y Modelos Lineales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enfoque representa la metodología clásica en el campo de la clasificación de textos. Utiliza un motor de reglas de negocio para capturar términos prohibidos o permitidos de forma inequívoca, combinado con una representación estadística de los términos (TF-IDF) y un clasificador lineal como la Regresión Logística o las Máquinas de Vector de Soporte (SVM).</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del TF-IDF</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técnica Term Frequency-Inverse Document Frequency (TF-IDF) cuantifica la importancia de un término </w:t>
      </w:r>
      <w:r w:rsidDel="00000000" w:rsidR="00000000" w:rsidRPr="00000000">
        <w:rPr>
          <w:rFonts w:ascii="Google Sans" w:cs="Google Sans" w:eastAsia="Google Sans" w:hAnsi="Google Sans"/>
          <w:color w:val="1f1f1f"/>
        </w:rPr>
        <w:drawing>
          <wp:inline distB="19050" distT="19050" distL="19050" distR="19050">
            <wp:extent cx="66675" cy="26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675" cy="2667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un documento </w:t>
      </w:r>
      <w:r w:rsidDel="00000000" w:rsidR="00000000" w:rsidRPr="00000000">
        <w:rPr>
          <w:rFonts w:ascii="Google Sans" w:cs="Google Sans" w:eastAsia="Google Sans" w:hAnsi="Google Sans"/>
          <w:color w:val="1f1f1f"/>
        </w:rPr>
        <w:drawing>
          <wp:inline distB="19050" distT="19050" distL="19050" distR="19050">
            <wp:extent cx="95911" cy="24413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5911" cy="2441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relativo a un corpus </w:t>
      </w:r>
      <w:r w:rsidDel="00000000" w:rsidR="00000000" w:rsidRPr="00000000">
        <w:rPr>
          <w:rFonts w:ascii="Google Sans" w:cs="Google Sans" w:eastAsia="Google Sans" w:hAnsi="Google Sans"/>
          <w:color w:val="1f1f1f"/>
        </w:rPr>
        <w:drawing>
          <wp:inline distB="19050" distT="19050" distL="19050" distR="19050">
            <wp:extent cx="157824" cy="23258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7824" cy="2325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fórmula estándar se expresa como: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80233"/>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05500" cy="38023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la frecuencia inversa de documento (IDF) se define como: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688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05500" cy="51688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Siendo </w:t>
      </w:r>
      <w:r w:rsidDel="00000000" w:rsidR="00000000" w:rsidRPr="00000000">
        <w:rPr>
          <w:rFonts w:ascii="Google Sans" w:cs="Google Sans" w:eastAsia="Google Sans" w:hAnsi="Google Sans"/>
          <w:color w:val="1f1f1f"/>
        </w:rPr>
        <w:drawing>
          <wp:inline distB="19050" distT="19050" distL="19050" distR="19050">
            <wp:extent cx="168143" cy="2354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68143" cy="235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número total de documentos en el corpus.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Este modelo es excelente para identificar palabras clave distintivas, como "cerveza" o "vino", que tienen un peso determinante en la clasificación de exclusión.</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 Académico e Interpretabilidad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Desde una perspectiva académica, este sistema es el más transparente. Permite realizar un análisis de los coeficientes del modelo lineal para entender qué palabras están inclinando la balanza hacia una categoría u otra.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En la administración pública, esta "explicabilidad" es un requisito legal y ético creciente.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Un tribunal de TFM valorará la capacidad del alumno para explicar la lógica interna del modelo, algo que es intrínsecamente más sencillo con TF-IDF que con redes neuronales profundas.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Desempeño y Viabilidad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términos de viabilidad en el nivel gratuito de Google Colab, este sistema es el más ligero. No requiere aceleración por GPU y puede procesar cientos de miles de líneas de factura en segundos.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Sin embargo, su principal debilidad es la falta de comprensión semántica. Si un producto aparece con un sinónimo no presente en el entrenamiento, el sistema fallará.</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Además, es extremadamente sensible al ruido y a las variaciones en las abreviaturas, lo que obliga a un preprocesamiento manual muy costoso (lemmatización, corrección de errores, eliminación de stopwords).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 2: Clasificación basada en fastText y Reglas Morfológicas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segundo sistema propone el uso de fastText, una biblioteca desarrollada por el laboratorio de investigación de IA de Facebook (FAIR). La innovación clave de fastText es su capacidad para tratar las palabras como una bolsa de n-gramas de caracteres.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Poder de los N-gramas de Caracteres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diferencia de TF-IDF, que trata cada palabra como una unidad atómica, fastText descompone la palabra "detergente" en fragmentos como "&lt;de", "det", "ete", "rge", "gen", "nte&gt;". Esto permite que el modelo genere representaciones vectoriales para palabras que no vio durante el entrenamiento (Out-of-Vocabulary) basándose en su morfología.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Para las facturas del Programa BÁSICO, donde abundan las abreviaturas ("deterg", "deterg."), esta característica es vital para la robustez del sistema.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de Rendimiento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estudios muestran que fastText es significativamente más preciso que los modelos basados en TF-IDF para textos cortos y ruidosos, como los de las redes sociales o los tiques de compra.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En experimentos de clasificación de noticias y tuits, fastText ha logrado precisiones del 89%, superando a las SVM tradicionales.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Además, su velocidad de inferencia es altísima, lo que lo hace ideal para aplicaciones en tiempo real en el punto de venta.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y Defensa Técnica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Implementar fastText en Python es directo y su entrenamiento es extremadamente eficiente. En Google Colab, un modelo de fastText puede entrenarse en minutos sobre un dataset de tamaño medio sin agotar la memoria RAM.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Ante un tribunal, este sistema se defiende como una solución de ingeniería robusta que reconoce la naturaleza fragmentaria del lenguaje comercial.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 3: MiniLM con Clasificación Semántica o Similitud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tercer sistema utiliza MiniLM, un modelo de lenguaje "pequeño" basado en la arquitectura Transformer y destilado de modelos más grandes como BERT o RoBERTa.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Este sistema produce embeddings densos que capturan el significado profundo de las frases.</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Transformer Destilada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MiniLM-L6-v2, con solo 22 millones de parámetros, es capaz de mantener hasta el 99% del rendimiento de modelos 5 veces más grandes.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Su capacidad para entender que "leche de continuación" y "pañales infantiles" son productos de primera necesidad, mientras que "bollería industrial" no lo es, se basa en su pre-entrenamiento en miles de millones de oraciones.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Ventajas en Robustez y Asimetría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sistema es el más robusto frente a la asimetría de las clases. En el Programa BÁSICO, habrá muchos más ejemplos de "alimentos generales" que de categorías específicas de exclusión.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Los Transformers, al tener una comprensión general del lenguaje, necesitan menos ejemplos específicos para clasificar correctamente categorías minoritarias.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Además, su resistencia al ruido es superior, ya que no dependen de palabras exactas sino de la ubicación del texto en un espacio vectorial semántico continuo.</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Viabilidad en Colab Gratuitos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Aunque es más pesado que los anteriores, MiniLM es perfectamente viable en el Colab gratuito.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El modelo ocupa apenas 80MB de disco y puede cargarse en memoria sin problemas.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Se recomienda el uso de la GPU T4 que ofrece Colab para acelerar la generación de embeddings, aunque para la clasificación final (inferencia), puede ejecutarse eficientemente en CPU.</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Comparativa Multicriterio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realizar una recomendación firme, es necesario evaluar los tres sistemas bajo los prismas exigidos por el usuario, integrando los datos de las investigaciones académicas revisadas.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Criterio de Evaluación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Sistema 1: TF-IDF + Lineal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Sistema 2: fastText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Sistema 3: MiniLM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Rigor Académico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Bajo-Medio. Considerado tecnología base superada por los modelos densos.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Medio-Alto. Estándar industrial para eficiencia y robustez morfológica.</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Máximo</w:t>
            </w:r>
            <w:r w:rsidDel="00000000" w:rsidR="00000000" w:rsidRPr="00000000">
              <w:rPr>
                <w:rFonts w:ascii="Google Sans" w:cs="Google Sans" w:eastAsia="Google Sans" w:hAnsi="Google Sans"/>
                <w:color w:val="1f1f1f"/>
                <w:shd w:fill="auto" w:val="clear"/>
                <w:rtl w:val="0"/>
              </w:rPr>
              <w:t xml:space="preserve">. Representa el estado del arte en modelos de lenguaje eficientes.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Viabilidad en Colab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Óptima</w:t>
            </w:r>
            <w:r w:rsidDel="00000000" w:rsidR="00000000" w:rsidRPr="00000000">
              <w:rPr>
                <w:rFonts w:ascii="Google Sans" w:cs="Google Sans" w:eastAsia="Google Sans" w:hAnsi="Google Sans"/>
                <w:color w:val="1f1f1f"/>
                <w:shd w:fill="auto" w:val="clear"/>
                <w:rtl w:val="0"/>
              </w:rPr>
              <w:t xml:space="preserve">. No requiere GPU ni gran memoria.</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Muy Alta</w:t>
            </w:r>
            <w:r w:rsidDel="00000000" w:rsidR="00000000" w:rsidRPr="00000000">
              <w:rPr>
                <w:rFonts w:ascii="Google Sans" w:cs="Google Sans" w:eastAsia="Google Sans" w:hAnsi="Google Sans"/>
                <w:color w:val="1f1f1f"/>
                <w:shd w:fill="auto" w:val="clear"/>
                <w:rtl w:val="0"/>
              </w:rPr>
              <w:t xml:space="preserve">. Extremadamente eficiente en CPU.</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Media-Alta. Viable con gestión de GPU y memoria.</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Interpretabilidad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Máxima</w:t>
            </w:r>
            <w:r w:rsidDel="00000000" w:rsidR="00000000" w:rsidRPr="00000000">
              <w:rPr>
                <w:rFonts w:ascii="Google Sans" w:cs="Google Sans" w:eastAsia="Google Sans" w:hAnsi="Google Sans"/>
                <w:color w:val="1f1f1f"/>
                <w:shd w:fill="auto" w:val="clear"/>
                <w:rtl w:val="0"/>
              </w:rPr>
              <w:t xml:space="preserve">. Pesos de palabras explícitos.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Media. Embeddings estáticos, requiere LIME.</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Baja. Caja negra, requiere SHAP o atención.</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Robustez frente a Ruido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Baja. Sensible a erratas y abreviaturas desconocidas.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Alta</w:t>
            </w:r>
            <w:r w:rsidDel="00000000" w:rsidR="00000000" w:rsidRPr="00000000">
              <w:rPr>
                <w:rFonts w:ascii="Google Sans" w:cs="Google Sans" w:eastAsia="Google Sans" w:hAnsi="Google Sans"/>
                <w:color w:val="1f1f1f"/>
                <w:shd w:fill="auto" w:val="clear"/>
                <w:rtl w:val="0"/>
              </w:rPr>
              <w:t xml:space="preserve">. Los n-gramas de caracteres capturan raíces.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Muy Alta</w:t>
            </w:r>
            <w:r w:rsidDel="00000000" w:rsidR="00000000" w:rsidRPr="00000000">
              <w:rPr>
                <w:rFonts w:ascii="Google Sans" w:cs="Google Sans" w:eastAsia="Google Sans" w:hAnsi="Google Sans"/>
                <w:color w:val="1f1f1f"/>
                <w:shd w:fill="auto" w:val="clear"/>
                <w:rtl w:val="0"/>
              </w:rPr>
              <w:t xml:space="preserve">. Comprensión semántica del contexto.</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Robustez ante Asimetría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Moderada. Requiere balanceo manual agresivo.</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Alta</w:t>
            </w:r>
            <w:r w:rsidDel="00000000" w:rsidR="00000000" w:rsidRPr="00000000">
              <w:rPr>
                <w:rFonts w:ascii="Google Sans" w:cs="Google Sans" w:eastAsia="Google Sans" w:hAnsi="Google Sans"/>
                <w:color w:val="1f1f1f"/>
                <w:shd w:fill="auto" w:val="clear"/>
                <w:rtl w:val="0"/>
              </w:rPr>
              <w:t xml:space="preserve">. Optimizado para datos desbalanceados.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Alta</w:t>
            </w:r>
            <w:r w:rsidDel="00000000" w:rsidR="00000000" w:rsidRPr="00000000">
              <w:rPr>
                <w:rFonts w:ascii="Google Sans" w:cs="Google Sans" w:eastAsia="Google Sans" w:hAnsi="Google Sans"/>
                <w:color w:val="1f1f1f"/>
                <w:shd w:fill="auto" w:val="clear"/>
                <w:rtl w:val="0"/>
              </w:rPr>
              <w:t xml:space="preserve">. El pre-entrenamiento mitiga la falta de datos.</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Implementación 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Extrema</w:t>
            </w:r>
            <w:r w:rsidDel="00000000" w:rsidR="00000000" w:rsidRPr="00000000">
              <w:rPr>
                <w:rFonts w:ascii="Google Sans" w:cs="Google Sans" w:eastAsia="Google Sans" w:hAnsi="Google Sans"/>
                <w:color w:val="1f1f1f"/>
                <w:shd w:fill="auto" w:val="clear"/>
                <w:rtl w:val="0"/>
              </w:rPr>
              <w:t xml:space="preserve">. Scikit-learn es el estándar.</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Alta. Librerías maduras y rápidas.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Media. Requiere Sentence-Transformers y PyTorch.</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Defensa ante Tribunal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Difícil. El tribunal preguntará por qué no se usó Deep Learning.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Buena. Argumento de robustez y eficiencia industrial.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Excelente</w:t>
            </w:r>
            <w:r w:rsidDel="00000000" w:rsidR="00000000" w:rsidRPr="00000000">
              <w:rPr>
                <w:rFonts w:ascii="Google Sans" w:cs="Google Sans" w:eastAsia="Google Sans" w:hAnsi="Google Sans"/>
                <w:color w:val="1f1f1f"/>
                <w:shd w:fill="auto" w:val="clear"/>
                <w:rtl w:val="0"/>
              </w:rPr>
              <w:t xml:space="preserve">. Justificación basada en "Eficiencia vs Precisión".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Alineación con Negocio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Media. Riesgo de errores por rigidez léxica.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 Eficiente para terminales de punto de venta.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Máxima</w:t>
            </w:r>
            <w:r w:rsidDel="00000000" w:rsidR="00000000" w:rsidRPr="00000000">
              <w:rPr>
                <w:rFonts w:ascii="Google Sans" w:cs="Google Sans" w:eastAsia="Google Sans" w:hAnsi="Google Sans"/>
                <w:color w:val="1f1f1f"/>
                <w:shd w:fill="auto" w:val="clear"/>
                <w:rtl w:val="0"/>
              </w:rPr>
              <w:t xml:space="preserve">. Mejor experiencia al entender lenguaje natural.</w:t>
            </w:r>
          </w:p>
        </w:tc>
      </w:tr>
    </w:tbl>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Justificación Técnica de la Elección del Sistema Principal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recomendación metodológica firme para este TFM es establecer el </w:t>
      </w:r>
      <w:r w:rsidDel="00000000" w:rsidR="00000000" w:rsidRPr="00000000">
        <w:rPr>
          <w:rFonts w:ascii="Google Sans" w:cs="Google Sans" w:eastAsia="Google Sans" w:hAnsi="Google Sans"/>
          <w:b w:val="1"/>
          <w:bCs w:val="1"/>
          <w:color w:val="1f1f1f"/>
          <w:rtl w:val="0"/>
        </w:rPr>
        <w:t xml:space="preserve">Sistema 3 (MiniLM + Clasificador ligero)</w:t>
      </w:r>
      <w:r w:rsidDel="00000000" w:rsidR="00000000" w:rsidRPr="00000000">
        <w:rPr>
          <w:rFonts w:ascii="Google Sans" w:cs="Google Sans" w:eastAsia="Google Sans" w:hAnsi="Google Sans"/>
          <w:color w:val="1f1f1f"/>
          <w:rtl w:val="0"/>
        </w:rPr>
        <w:t xml:space="preserve"> como el sistema principal de la investigación, manteniendo el </w:t>
      </w:r>
      <w:r w:rsidDel="00000000" w:rsidR="00000000" w:rsidRPr="00000000">
        <w:rPr>
          <w:rFonts w:ascii="Google Sans" w:cs="Google Sans" w:eastAsia="Google Sans" w:hAnsi="Google Sans"/>
          <w:b w:val="1"/>
          <w:bCs w:val="1"/>
          <w:color w:val="1f1f1f"/>
          <w:rtl w:val="0"/>
        </w:rPr>
        <w:t xml:space="preserve">Sistema 1</w:t>
      </w:r>
      <w:r w:rsidDel="00000000" w:rsidR="00000000" w:rsidRPr="00000000">
        <w:rPr>
          <w:rFonts w:ascii="Google Sans" w:cs="Google Sans" w:eastAsia="Google Sans" w:hAnsi="Google Sans"/>
          <w:color w:val="1f1f1f"/>
          <w:rtl w:val="0"/>
        </w:rPr>
        <w:t xml:space="preserve"> y el </w:t>
      </w:r>
      <w:r w:rsidDel="00000000" w:rsidR="00000000" w:rsidRPr="00000000">
        <w:rPr>
          <w:rFonts w:ascii="Google Sans" w:cs="Google Sans" w:eastAsia="Google Sans" w:hAnsi="Google Sans"/>
          <w:b w:val="1"/>
          <w:bCs w:val="1"/>
          <w:color w:val="1f1f1f"/>
          <w:rtl w:val="0"/>
        </w:rPr>
        <w:t xml:space="preserve">Sistema 2</w:t>
      </w:r>
      <w:r w:rsidDel="00000000" w:rsidR="00000000" w:rsidRPr="00000000">
        <w:rPr>
          <w:rFonts w:ascii="Google Sans" w:cs="Google Sans" w:eastAsia="Google Sans" w:hAnsi="Google Sans"/>
          <w:color w:val="1f1f1f"/>
          <w:rtl w:val="0"/>
        </w:rPr>
        <w:t xml:space="preserve"> como comparativos o "baselines".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qué MiniLM es el Sistema Principal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rigor académico exige que un TFM explore el estado del arte.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MiniLM no solo ofrece la mayor precisión teórica en la clasificación de tiques de compra (con precisiones esperadas superiores al 93-96% según estudios similares en facturas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sino que permite al alumno investigar técnicas modernas de transferencia de aprendizaje (transfer learning).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Además, su capacidad para manejar la asimetría de los datos sin necesidad de generar una cantidad ingente de etiquetas manuales es una ventaja operativa insuperable para un investigador solitario con tiempo limitado.</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Justificación frente a Modelos más Pesados (LLMs)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punto crítico en la defensa ante el tribunal será la justificación de por qué no se utilizaron modelos masivos como GPT-4 o Llama-3 de 70B parámetros. El argumento debe construirse sobre tres pilares:</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Soberanía de Datos y Privacidad</w:t>
      </w:r>
      <w:r w:rsidDel="00000000" w:rsidR="00000000" w:rsidRPr="00000000">
        <w:rPr>
          <w:rFonts w:ascii="Google Sans" w:cs="Google Sans" w:eastAsia="Google Sans" w:hAnsi="Google Sans"/>
          <w:color w:val="1f1f1f"/>
          <w:rtl w:val="0"/>
        </w:rPr>
        <w:t xml:space="preserve">: El Programa BÁSICO maneja información de personas en situación de vulnerabilidad extrema.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Utilizar modelos locales (SLM) como MiniLM garantiza que no haya fuga de datos hacia nubes privadas de terceros, alineándose con las normativas de protección de datos de la administración pública.</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Sostenibilidad y Coste</w:t>
      </w:r>
      <w:r w:rsidDel="00000000" w:rsidR="00000000" w:rsidRPr="00000000">
        <w:rPr>
          <w:rFonts w:ascii="Google Sans" w:cs="Google Sans" w:eastAsia="Google Sans" w:hAnsi="Google Sans"/>
          <w:color w:val="1f1f1f"/>
          <w:rtl w:val="0"/>
        </w:rPr>
        <w:t xml:space="preserve">: Entrenar o realizar inferencia con un LLM para una tarea de clasificación binaria o multiclase de textos de 5 palabras es un "sobre-ingeniería" ineficiente.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MiniLM ofrece resultados comparables con una huella de carbono y un consumo de recursos miles de veces menor.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Latencia y Despliegue</w:t>
      </w:r>
      <w:r w:rsidDel="00000000" w:rsidR="00000000" w:rsidRPr="00000000">
        <w:rPr>
          <w:rFonts w:ascii="Google Sans" w:cs="Google Sans" w:eastAsia="Google Sans" w:hAnsi="Google Sans"/>
          <w:color w:val="1f1f1f"/>
          <w:rtl w:val="0"/>
        </w:rPr>
        <w:t xml:space="preserve">: Un sistema administrativo de validación de tiques requiere procesar millones de líneas. Los modelos pesados son lentos y costosos de escalar, mientras que MiniLM puede procesar 14,000 frases por segundo en una CPU estándar.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Detallada en el Ecosistema Python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el TFM sea robusto, la implementación debe seguir una estructura profesional. Se recomienda el uso de la librería sentence-transformers para MiniLM, aprovechando su integración con PyTorch.</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Capa de Reglas de Negocio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Independientemente del modelo de IA elegido, el sistema debe incluir una capa previa de </w:t>
      </w:r>
      <w:r w:rsidDel="00000000" w:rsidR="00000000" w:rsidRPr="00000000">
        <w:rPr>
          <w:rFonts w:ascii="Google Sans" w:cs="Google Sans" w:eastAsia="Google Sans" w:hAnsi="Google Sans"/>
          <w:b w:val="1"/>
          <w:bCs w:val="1"/>
          <w:color w:val="1f1f1f"/>
          <w:rtl w:val="0"/>
        </w:rPr>
        <w:t xml:space="preserve">reglas deterministas</w:t>
      </w:r>
      <w:r w:rsidDel="00000000" w:rsidR="00000000" w:rsidRPr="00000000">
        <w:rPr>
          <w:rFonts w:ascii="Google Sans" w:cs="Google Sans" w:eastAsia="Google Sans" w:hAnsi="Google Sans"/>
          <w:color w:val="1f1f1f"/>
          <w:rtl w:val="0"/>
        </w:rPr>
        <w:t xml:space="preserve">. Esto se justifica por la naturaleza del Programa BÁSICO: hay ciertos términos que legalmente implican una exclusión automática.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Regla de Exclusión Directa</w:t>
      </w:r>
      <w:r w:rsidDel="00000000" w:rsidR="00000000" w:rsidRPr="00000000">
        <w:rPr>
          <w:rFonts w:ascii="Google Sans" w:cs="Google Sans" w:eastAsia="Google Sans" w:hAnsi="Google Sans"/>
          <w:color w:val="1f1f1f"/>
          <w:rtl w:val="0"/>
        </w:rPr>
        <w:t xml:space="preserve">: Si el texto contiene lexemas como "VINO", "RON", "CERV", "WHISK", el sistema debe clasificarlo como "No Elegible" con un 100% de confianza, sin pasar por la red neuronal. Esto aumenta la robustez y reduce la carga computacional.</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Regla de Inclusión Crítica</w:t>
      </w:r>
      <w:r w:rsidDel="00000000" w:rsidR="00000000" w:rsidRPr="00000000">
        <w:rPr>
          <w:rFonts w:ascii="Google Sans" w:cs="Google Sans" w:eastAsia="Google Sans" w:hAnsi="Google Sans"/>
          <w:color w:val="1f1f1f"/>
          <w:rtl w:val="0"/>
        </w:rPr>
        <w:t xml:space="preserve">: Artículos de higiene femenina o pañales infantiles deben tener una prioridad alta de clasificación correcta para evitar el estigma social de la denegación en caja.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Manejo de la Asimetría (Clases Imbalanceadas)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Dado que la mayoría de los productos serán elegibles, el TFM debe abordar este problema explícitamente. Se recomienda el uso de </w:t>
      </w:r>
      <w:r w:rsidDel="00000000" w:rsidR="00000000" w:rsidRPr="00000000">
        <w:rPr>
          <w:rFonts w:ascii="Google Sans" w:cs="Google Sans" w:eastAsia="Google Sans" w:hAnsi="Google Sans"/>
          <w:b w:val="1"/>
          <w:bCs w:val="1"/>
          <w:color w:val="1f1f1f"/>
          <w:rtl w:val="0"/>
        </w:rPr>
        <w:t xml:space="preserve">Focal Loss</w:t>
      </w:r>
      <w:r w:rsidDel="00000000" w:rsidR="00000000" w:rsidRPr="00000000">
        <w:rPr>
          <w:rFonts w:ascii="Google Sans" w:cs="Google Sans" w:eastAsia="Google Sans" w:hAnsi="Google Sans"/>
          <w:color w:val="1f1f1f"/>
          <w:rtl w:val="0"/>
        </w:rPr>
        <w:t xml:space="preserve"> en lugar de Cross-Entropy estándar para el clasificador ligero que se sitúe sobre MiniLM. La Focal Loss reduce el peso de los ejemplos fáciles de clasificar y se centra en los casos difíciles (los "hard negatives" de productos fronterizos como las bebidas vegetales vs refrescos azucarados).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Riesgos y Estrategias de Mitigación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Cada opción metodológica conlleva riesgos intrínsecos que deben ser monitorizados durante la ejecución del proyecto.</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Riesgos del Sistema 1 (TF-IDF)</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Riesgo</w:t>
      </w:r>
      <w:r w:rsidDel="00000000" w:rsidR="00000000" w:rsidRPr="00000000">
        <w:rPr>
          <w:rFonts w:ascii="Google Sans" w:cs="Google Sans" w:eastAsia="Google Sans" w:hAnsi="Google Sans"/>
          <w:color w:val="1f1f1f"/>
          <w:rtl w:val="0"/>
        </w:rPr>
        <w:t xml:space="preserve">: Incapacidad absoluta para entender el contexto (ej. confundir "zumo de naranja" con "refresco de naranja" si no están ambos en el corpus).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Mitigación</w:t>
      </w:r>
      <w:r w:rsidDel="00000000" w:rsidR="00000000" w:rsidRPr="00000000">
        <w:rPr>
          <w:rFonts w:ascii="Google Sans" w:cs="Google Sans" w:eastAsia="Google Sans" w:hAnsi="Google Sans"/>
          <w:color w:val="1f1f1f"/>
          <w:rtl w:val="0"/>
        </w:rPr>
        <w:t xml:space="preserve">: Ampliación del corpus mediante técnicas de "Data Augmentation" o el uso de diccionarios de sinónimos específicos del sector retail.</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Riesgos del Sistema 2 (fastText)</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Riesgo</w:t>
      </w:r>
      <w:r w:rsidDel="00000000" w:rsidR="00000000" w:rsidRPr="00000000">
        <w:rPr>
          <w:rFonts w:ascii="Google Sans" w:cs="Google Sans" w:eastAsia="Google Sans" w:hAnsi="Google Sans"/>
          <w:color w:val="1f1f1f"/>
          <w:rtl w:val="0"/>
        </w:rPr>
        <w:t xml:space="preserve">: Sobreajuste (overfitting) a las abreviaturas específicas de una sola cadena de supermercados.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Mitigación</w:t>
      </w:r>
      <w:r w:rsidDel="00000000" w:rsidR="00000000" w:rsidRPr="00000000">
        <w:rPr>
          <w:rFonts w:ascii="Google Sans" w:cs="Google Sans" w:eastAsia="Google Sans" w:hAnsi="Google Sans"/>
          <w:color w:val="1f1f1f"/>
          <w:rtl w:val="0"/>
        </w:rPr>
        <w:t xml:space="preserve">: Utilizar embeddings de fastText pre-entrenados en un corpus general del español y realizar solo un ajuste fino (fine-tuning) con los datos del programa.</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Riesgos del Sistema 3 (MiniLM)</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Riesgo</w:t>
      </w:r>
      <w:r w:rsidDel="00000000" w:rsidR="00000000" w:rsidRPr="00000000">
        <w:rPr>
          <w:rFonts w:ascii="Google Sans" w:cs="Google Sans" w:eastAsia="Google Sans" w:hAnsi="Google Sans"/>
          <w:color w:val="1f1f1f"/>
          <w:rtl w:val="0"/>
        </w:rPr>
        <w:t xml:space="preserve">: Limitaciones de memoria en Google Colab al intentar procesar lotes (batches) grandes de datos.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Mitigación</w:t>
      </w:r>
      <w:r w:rsidDel="00000000" w:rsidR="00000000" w:rsidRPr="00000000">
        <w:rPr>
          <w:rFonts w:ascii="Google Sans" w:cs="Google Sans" w:eastAsia="Google Sans" w:hAnsi="Google Sans"/>
          <w:color w:val="1f1f1f"/>
          <w:rtl w:val="0"/>
        </w:rPr>
        <w:t xml:space="preserve">: Utilizar técnicas de </w:t>
      </w:r>
      <w:r w:rsidDel="00000000" w:rsidR="00000000" w:rsidRPr="00000000">
        <w:rPr>
          <w:rFonts w:ascii="Google Sans" w:cs="Google Sans" w:eastAsia="Google Sans" w:hAnsi="Google Sans"/>
          <w:b w:val="1"/>
          <w:bCs w:val="1"/>
          <w:color w:val="1f1f1f"/>
          <w:rtl w:val="0"/>
        </w:rPr>
        <w:t xml:space="preserve">cuantización</w:t>
      </w:r>
      <w:r w:rsidDel="00000000" w:rsidR="00000000" w:rsidRPr="00000000">
        <w:rPr>
          <w:rFonts w:ascii="Google Sans" w:cs="Google Sans" w:eastAsia="Google Sans" w:hAnsi="Google Sans"/>
          <w:color w:val="1f1f1f"/>
          <w:rtl w:val="0"/>
        </w:rPr>
        <w:t xml:space="preserve"> (convertir el modelo a precisión de 8 bits o float16) y exportar el modelo a formato </w:t>
      </w:r>
      <w:r w:rsidDel="00000000" w:rsidR="00000000" w:rsidRPr="00000000">
        <w:rPr>
          <w:rFonts w:ascii="Google Sans" w:cs="Google Sans" w:eastAsia="Google Sans" w:hAnsi="Google Sans"/>
          <w:b w:val="1"/>
          <w:bCs w:val="1"/>
          <w:color w:val="1f1f1f"/>
          <w:rtl w:val="0"/>
        </w:rPr>
        <w:t xml:space="preserve">ONNX</w:t>
      </w:r>
      <w:r w:rsidDel="00000000" w:rsidR="00000000" w:rsidRPr="00000000">
        <w:rPr>
          <w:rFonts w:ascii="Google Sans" w:cs="Google Sans" w:eastAsia="Google Sans" w:hAnsi="Google Sans"/>
          <w:color w:val="1f1f1f"/>
          <w:rtl w:val="0"/>
        </w:rPr>
        <w:t xml:space="preserve"> para una ejecución más ligera.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Además, se debe implementar una estrategia de "Smart Batching" para agrupar oraciones de longitud similar y minimizar el relleno (padding).</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Recomendación Final: Estructura del Trabajo</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TFM debe estructurarse como una comparativa de rendimiento donde el </w:t>
      </w:r>
      <w:r w:rsidDel="00000000" w:rsidR="00000000" w:rsidRPr="00000000">
        <w:rPr>
          <w:rFonts w:ascii="Google Sans" w:cs="Google Sans" w:eastAsia="Google Sans" w:hAnsi="Google Sans"/>
          <w:b w:val="1"/>
          <w:bCs w:val="1"/>
          <w:color w:val="1f1f1f"/>
          <w:rtl w:val="0"/>
        </w:rPr>
        <w:t xml:space="preserve">Sistema 3 (MiniLM)</w:t>
      </w:r>
      <w:r w:rsidDel="00000000" w:rsidR="00000000" w:rsidRPr="00000000">
        <w:rPr>
          <w:rFonts w:ascii="Google Sans" w:cs="Google Sans" w:eastAsia="Google Sans" w:hAnsi="Google Sans"/>
          <w:color w:val="1f1f1f"/>
          <w:rtl w:val="0"/>
        </w:rPr>
        <w:t xml:space="preserve"> se erija como la solución óptima para el Programa BÁSICO. La justificación final ante el tribunal debe enfatizar que, aunque el Sistema 1 es más interpretable y el Sistema 2 es más rápido, el Sistema 3 es el único que proporciona la </w:t>
      </w:r>
      <w:r w:rsidDel="00000000" w:rsidR="00000000" w:rsidRPr="00000000">
        <w:rPr>
          <w:rFonts w:ascii="Google Sans" w:cs="Google Sans" w:eastAsia="Google Sans" w:hAnsi="Google Sans"/>
          <w:b w:val="1"/>
          <w:bCs w:val="1"/>
          <w:color w:val="1f1f1f"/>
          <w:rtl w:val="0"/>
        </w:rPr>
        <w:t xml:space="preserve">densidad semántica</w:t>
      </w:r>
      <w:r w:rsidDel="00000000" w:rsidR="00000000" w:rsidRPr="00000000">
        <w:rPr>
          <w:rFonts w:ascii="Google Sans" w:cs="Google Sans" w:eastAsia="Google Sans" w:hAnsi="Google Sans"/>
          <w:color w:val="1f1f1f"/>
          <w:rtl w:val="0"/>
        </w:rPr>
        <w:t xml:space="preserve"> necesaria para cumplir con el espíritu del Fondo Social Europeo: garantizar que las familias accedan a productos de calidad con la mínima fricción administrativa y la máxima precisión en el control.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enfoque garantiza:</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Excelencia académica</w:t>
      </w:r>
      <w:r w:rsidDel="00000000" w:rsidR="00000000" w:rsidRPr="00000000">
        <w:rPr>
          <w:rFonts w:ascii="Google Sans" w:cs="Google Sans" w:eastAsia="Google Sans" w:hAnsi="Google Sans"/>
          <w:color w:val="1f1f1f"/>
          <w:rtl w:val="0"/>
        </w:rPr>
        <w:t xml:space="preserve">: Al emplear arquitecturas Transformer de última generación.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Utilidad pública</w:t>
      </w:r>
      <w:r w:rsidDel="00000000" w:rsidR="00000000" w:rsidRPr="00000000">
        <w:rPr>
          <w:rFonts w:ascii="Google Sans" w:cs="Google Sans" w:eastAsia="Google Sans" w:hAnsi="Google Sans"/>
          <w:color w:val="1f1f1f"/>
          <w:rtl w:val="0"/>
        </w:rPr>
        <w:t xml:space="preserve">: Al ofrecer un sistema robusto, escalable y respetuoso con la privacidad de los datos.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Viabilidad de investigación</w:t>
      </w:r>
      <w:r w:rsidDel="00000000" w:rsidR="00000000" w:rsidRPr="00000000">
        <w:rPr>
          <w:rFonts w:ascii="Google Sans" w:cs="Google Sans" w:eastAsia="Google Sans" w:hAnsi="Google Sans"/>
          <w:color w:val="1f1f1f"/>
          <w:rtl w:val="0"/>
        </w:rPr>
        <w:t xml:space="preserve">: Al ser ejecutable con herramientas gratuitas y de fácil acceso como Google Colab y Python.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combinación de una capa de reglas de negocio para la seguridad jurídica y un motor de MiniLM para la flexibilidad semántica conforma la arquitectura más sólida para abordar la transformación digital del Programa BÁSICO FSE+ 2021-2027.</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FSE+ de Asistencia Material Básica (Programa BÁSICO). - Sede electrónica de la Administración Pública de la C.A.R.M., acceso: marzo 24, 2026, </w:t>
      </w:r>
      <w:hyperlink r:id="rId12">
        <w:r w:rsidDel="00000000" w:rsidR="00000000" w:rsidRPr="00000000">
          <w:rPr>
            <w:rFonts w:ascii="Google Sans" w:cs="Google Sans" w:eastAsia="Google Sans" w:hAnsi="Google Sans"/>
            <w:color w:val="0000ee"/>
            <w:sz w:val="24"/>
            <w:szCs w:val="24"/>
            <w:u w:val="single"/>
            <w:rtl w:val="0"/>
          </w:rPr>
          <w:t xml:space="preserve">https://sede.carm.es/web/pagina?IDCONTENIDO=4416&amp;IDTIPO=240&amp;RASTRO=c$m40288</w:t>
        </w:r>
      </w:hyperlink>
      <w:r w:rsidDel="00000000" w:rsidR="00000000" w:rsidRPr="00000000">
        <w:rPr>
          <w:rtl w:val="0"/>
        </w:rPr>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 ASISTENCIA MATERIAL BÁSICA FSE+ 2021-2027 ..., acceso: marzo 24, 2026, </w:t>
      </w:r>
      <w:hyperlink r:id="rId13">
        <w:r w:rsidDel="00000000" w:rsidR="00000000" w:rsidRPr="00000000">
          <w:rPr>
            <w:rFonts w:ascii="Google Sans" w:cs="Google Sans" w:eastAsia="Google Sans" w:hAnsi="Google Sans"/>
            <w:color w:val="0000ee"/>
            <w:sz w:val="24"/>
            <w:szCs w:val="24"/>
            <w:u w:val="single"/>
            <w:rtl w:val="0"/>
          </w:rPr>
          <w:t xml:space="preserve">https://fondosestructurales.castillalamancha.es/sites/default/files/2025-02/31_10_22_p-basico_acordado-com.pdf</w:t>
        </w:r>
      </w:hyperlink>
      <w:r w:rsidDel="00000000" w:rsidR="00000000" w:rsidRPr="00000000">
        <w:rPr>
          <w:rtl w:val="0"/>
        </w:rPr>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 asistencia material básica. tarjetas monedero - Gobierno de Canarias, acceso: marzo 24, 2026, </w:t>
      </w:r>
      <w:hyperlink r:id="rId14">
        <w:r w:rsidDel="00000000" w:rsidR="00000000" w:rsidRPr="00000000">
          <w:rPr>
            <w:rFonts w:ascii="Google Sans" w:cs="Google Sans" w:eastAsia="Google Sans" w:hAnsi="Google Sans"/>
            <w:color w:val="0000ee"/>
            <w:sz w:val="24"/>
            <w:szCs w:val="24"/>
            <w:u w:val="single"/>
            <w:rtl w:val="0"/>
          </w:rPr>
          <w:t xml:space="preserve">https://www.gobiernodecanarias.org/bienestarsocial/inclusionsocial/tarjetas-servicio/</w:t>
        </w:r>
      </w:hyperlink>
      <w:r w:rsidDel="00000000" w:rsidR="00000000" w:rsidRPr="00000000">
        <w:rPr>
          <w:rtl w:val="0"/>
        </w:rPr>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BÁSICO (FSE+) | Ministerio de Derechos Sociales, Consumo y Agenda 2030, acceso: marzo 24, 2026, </w:t>
      </w:r>
      <w:hyperlink r:id="rId15">
        <w:r w:rsidDel="00000000" w:rsidR="00000000" w:rsidRPr="00000000">
          <w:rPr>
            <w:rFonts w:ascii="Google Sans" w:cs="Google Sans" w:eastAsia="Google Sans" w:hAnsi="Google Sans"/>
            <w:color w:val="0000ee"/>
            <w:sz w:val="24"/>
            <w:szCs w:val="24"/>
            <w:u w:val="single"/>
            <w:rtl w:val="0"/>
          </w:rPr>
          <w:t xml:space="preserve">https://www.dsca.gob.es/es/derechos-sociales/inclusion/programa-basico-fondo-social-europeo%2B</w:t>
        </w:r>
      </w:hyperlink>
      <w:r w:rsidDel="00000000" w:rsidR="00000000" w:rsidRPr="00000000">
        <w:rPr>
          <w:rtl w:val="0"/>
        </w:rPr>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 Asistencia Material Básica - Comunidad de Madrid |, acceso: marzo 24, 2026, </w:t>
      </w:r>
      <w:hyperlink r:id="rId16">
        <w:r w:rsidDel="00000000" w:rsidR="00000000" w:rsidRPr="00000000">
          <w:rPr>
            <w:rFonts w:ascii="Google Sans" w:cs="Google Sans" w:eastAsia="Google Sans" w:hAnsi="Google Sans"/>
            <w:color w:val="0000ee"/>
            <w:sz w:val="24"/>
            <w:szCs w:val="24"/>
            <w:u w:val="single"/>
            <w:rtl w:val="0"/>
          </w:rPr>
          <w:t xml:space="preserve">https://www.comunidad.madrid/servicios/servicios-sociales/programa-asistencia-material-basica</w:t>
        </w:r>
      </w:hyperlink>
      <w:r w:rsidDel="00000000" w:rsidR="00000000" w:rsidRPr="00000000">
        <w:rPr>
          <w:rtl w:val="0"/>
        </w:rPr>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Artículo BOME-A-2025-1358 | BOME, acceso: marzo 24, 2026, </w:t>
      </w:r>
      <w:hyperlink r:id="rId17">
        <w:r w:rsidDel="00000000" w:rsidR="00000000" w:rsidRPr="00000000">
          <w:rPr>
            <w:rFonts w:ascii="Google Sans" w:cs="Google Sans" w:eastAsia="Google Sans" w:hAnsi="Google Sans"/>
            <w:color w:val="0000ee"/>
            <w:sz w:val="24"/>
            <w:szCs w:val="24"/>
            <w:u w:val="single"/>
            <w:rtl w:val="0"/>
          </w:rPr>
          <w:t xml:space="preserve">https://bomemelilla.es/bome/BOME-B-2025-6340/articulo/1358</w:t>
        </w:r>
      </w:hyperlink>
      <w:r w:rsidDel="00000000" w:rsidR="00000000" w:rsidRPr="00000000">
        <w:rPr>
          <w:rtl w:val="0"/>
        </w:rPr>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del Fondo Social Europeo Plus de Asistencia Material Básica, acceso: marzo 24, 2026, </w:t>
      </w:r>
      <w:hyperlink r:id="rId18">
        <w:r w:rsidDel="00000000" w:rsidR="00000000" w:rsidRPr="00000000">
          <w:rPr>
            <w:rFonts w:ascii="Google Sans" w:cs="Google Sans" w:eastAsia="Google Sans" w:hAnsi="Google Sans"/>
            <w:color w:val="0000ee"/>
            <w:sz w:val="24"/>
            <w:szCs w:val="24"/>
            <w:u w:val="single"/>
            <w:rtl w:val="0"/>
          </w:rPr>
          <w:t xml:space="preserve">https://laadministracionaldia.inap.es/noticia.asp?id=1254299</w:t>
        </w:r>
      </w:hyperlink>
      <w:r w:rsidDel="00000000" w:rsidR="00000000" w:rsidRPr="00000000">
        <w:rPr>
          <w:rtl w:val="0"/>
        </w:rPr>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FSE+ Orientaciones de indicaciones para el tratamiento de los ..., acceso: marzo 24, 2026, </w:t>
      </w:r>
      <w:hyperlink r:id="rId19">
        <w:r w:rsidDel="00000000" w:rsidR="00000000" w:rsidRPr="00000000">
          <w:rPr>
            <w:rFonts w:ascii="Google Sans" w:cs="Google Sans" w:eastAsia="Google Sans" w:hAnsi="Google Sans"/>
            <w:color w:val="0000ee"/>
            <w:sz w:val="24"/>
            <w:szCs w:val="24"/>
            <w:u w:val="single"/>
            <w:rtl w:val="0"/>
          </w:rPr>
          <w:t xml:space="preserve">https://www.mites.gob.es/UAFSE/ficheros/FSE21_27/indicadores/orientacion_indicadores.pdf</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DESCRIPCIÓN DEL SISTEMA DE GESTION Y CONTROL DEL ORGANISMO INTERMEDIO FSE+ 2021- 2027 - Euskadi.eus, acceso: marzo 24, 2026, </w:t>
      </w:r>
      <w:hyperlink r:id="rId20">
        <w:r w:rsidDel="00000000" w:rsidR="00000000" w:rsidRPr="00000000">
          <w:rPr>
            <w:rFonts w:ascii="Google Sans" w:cs="Google Sans" w:eastAsia="Google Sans" w:hAnsi="Google Sans"/>
            <w:color w:val="0000ee"/>
            <w:sz w:val="24"/>
            <w:szCs w:val="24"/>
            <w:u w:val="single"/>
            <w:rtl w:val="0"/>
          </w:rPr>
          <w:t xml:space="preserve">https://www.euskadi.eus/contenidos/informacion/po_fse_21_27_web/es_def/adjuntos/2-Sistemas-de-gestion-y-control.pdf</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 of Words in NLP: A Battle of Text Transformers — TF-IDF vs. Sentence Transformers vs. Word2Vec | by Javier Sospedra Legarda | Medium, acceso: marzo 24, 2026, </w:t>
      </w:r>
      <w:hyperlink r:id="rId21">
        <w:r w:rsidDel="00000000" w:rsidR="00000000" w:rsidRPr="00000000">
          <w:rPr>
            <w:rFonts w:ascii="Google Sans" w:cs="Google Sans" w:eastAsia="Google Sans" w:hAnsi="Google Sans"/>
            <w:color w:val="0000ee"/>
            <w:sz w:val="24"/>
            <w:szCs w:val="24"/>
            <w:u w:val="single"/>
            <w:rtl w:val="0"/>
          </w:rPr>
          <w:t xml:space="preserve">https://medium.com/@javiersospedralegarda/power-of-words-in-nlp-a-battle-of-text-transformers-tf-idf-vs-d9dec6922684</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Interpretación de Modelos de Machine Learning, acceso: marzo 24, 2026, </w:t>
      </w:r>
      <w:hyperlink r:id="rId22">
        <w:r w:rsidDel="00000000" w:rsidR="00000000" w:rsidRPr="00000000">
          <w:rPr>
            <w:rFonts w:ascii="Google Sans" w:cs="Google Sans" w:eastAsia="Google Sans" w:hAnsi="Google Sans"/>
            <w:color w:val="0000ee"/>
            <w:sz w:val="24"/>
            <w:szCs w:val="24"/>
            <w:u w:val="single"/>
            <w:rtl w:val="0"/>
          </w:rPr>
          <w:t xml:space="preserve">https://www.aprendemachinelearning.com/interpretacion-de-modelos-de-machine-learning/</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problema de la interpretabilidad de la Inteligencia Artificial y su impacto en la Administración Pública, acceso: marzo 24, 2026, </w:t>
      </w:r>
      <w:hyperlink r:id="rId23">
        <w:r w:rsidDel="00000000" w:rsidR="00000000" w:rsidRPr="00000000">
          <w:rPr>
            <w:rFonts w:ascii="Google Sans" w:cs="Google Sans" w:eastAsia="Google Sans" w:hAnsi="Google Sans"/>
            <w:color w:val="0000ee"/>
            <w:sz w:val="24"/>
            <w:szCs w:val="24"/>
            <w:u w:val="single"/>
            <w:rtl w:val="0"/>
          </w:rPr>
          <w:t xml:space="preserve">https://revistacanarias.tirant.com/index.php/revista-canaria/article/view/42</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interpretabilidad en el aprendizaje automático – Sigesa, acceso: marzo 24, 2026, </w:t>
      </w:r>
      <w:hyperlink r:id="rId24">
        <w:r w:rsidDel="00000000" w:rsidR="00000000" w:rsidRPr="00000000">
          <w:rPr>
            <w:rFonts w:ascii="Google Sans" w:cs="Google Sans" w:eastAsia="Google Sans" w:hAnsi="Google Sans"/>
            <w:color w:val="0000ee"/>
            <w:sz w:val="24"/>
            <w:szCs w:val="24"/>
            <w:u w:val="single"/>
            <w:rtl w:val="0"/>
          </w:rPr>
          <w:t xml:space="preserve">https://www.sigesa.com/la-interpretabilidad-en-el-aprendizaje-automatico/</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study of Text embeddings : TF-IDF vs Sentence Transformer | by Venugopal Adep | AI Product Leader @ Jio | Medium, acceso: marzo 24, 2026, </w:t>
      </w:r>
      <w:hyperlink r:id="rId25">
        <w:r w:rsidDel="00000000" w:rsidR="00000000" w:rsidRPr="00000000">
          <w:rPr>
            <w:rFonts w:ascii="Google Sans" w:cs="Google Sans" w:eastAsia="Google Sans" w:hAnsi="Google Sans"/>
            <w:color w:val="0000ee"/>
            <w:sz w:val="24"/>
            <w:szCs w:val="24"/>
            <w:u w:val="single"/>
            <w:rtl w:val="0"/>
          </w:rPr>
          <w:t xml:space="preserve">https://medium.com/@venugopal.adep/comparative-study-of-text-embeddings-tf-idf-vs-sentence-transformer-28627c315f21</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Embeddings vs TF-IDF vs Bag-of-Words: Which Works Better in Scikit-learn?, acceso: marzo 24, 2026, </w:t>
      </w:r>
      <w:hyperlink r:id="rId26">
        <w:r w:rsidDel="00000000" w:rsidR="00000000" w:rsidRPr="00000000">
          <w:rPr>
            <w:rFonts w:ascii="Google Sans" w:cs="Google Sans" w:eastAsia="Google Sans" w:hAnsi="Google Sans"/>
            <w:color w:val="0000ee"/>
            <w:sz w:val="24"/>
            <w:szCs w:val="24"/>
            <w:u w:val="single"/>
            <w:rtl w:val="0"/>
          </w:rPr>
          <w:t xml:space="preserve">https://machinelearningmastery.com/llm-embeddings-vs-tf-idf-vs-bag-of-words-which-works-better-in-scikit-learn/</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best architecture for your text classification task - Toloka AI, acceso: marzo 24, 2026, </w:t>
      </w:r>
      <w:hyperlink r:id="rId27">
        <w:r w:rsidDel="00000000" w:rsidR="00000000" w:rsidRPr="00000000">
          <w:rPr>
            <w:rFonts w:ascii="Google Sans" w:cs="Google Sans" w:eastAsia="Google Sans" w:hAnsi="Google Sans"/>
            <w:color w:val="0000ee"/>
            <w:sz w:val="24"/>
            <w:szCs w:val="24"/>
            <w:u w:val="single"/>
            <w:rtl w:val="0"/>
          </w:rPr>
          <w:t xml:space="preserve">https://toloka.ai/blog/choosing-architecture-for-text-classification/</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Popular Embedding Models: Choosing the Right One for Your Use Case, acceso: marzo 24, 2026, </w:t>
      </w:r>
      <w:hyperlink r:id="rId28">
        <w:r w:rsidDel="00000000" w:rsidR="00000000" w:rsidRPr="00000000">
          <w:rPr>
            <w:rFonts w:ascii="Google Sans" w:cs="Google Sans" w:eastAsia="Google Sans" w:hAnsi="Google Sans"/>
            <w:color w:val="0000ee"/>
            <w:sz w:val="24"/>
            <w:szCs w:val="24"/>
            <w:u w:val="single"/>
            <w:rtl w:val="0"/>
          </w:rPr>
          <w:t xml:space="preserve">https://dev.to/simplr_sh/comparing-popular-embedding-models-choosing-the-right-one-for-your-use-case-43p1</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fastText and Imbalanced Classification | by rama rahmanda - Medium, acceso: marzo 24, 2026, </w:t>
      </w:r>
      <w:hyperlink r:id="rId29">
        <w:r w:rsidDel="00000000" w:rsidR="00000000" w:rsidRPr="00000000">
          <w:rPr>
            <w:rFonts w:ascii="Google Sans" w:cs="Google Sans" w:eastAsia="Google Sans" w:hAnsi="Google Sans"/>
            <w:color w:val="0000ee"/>
            <w:sz w:val="24"/>
            <w:szCs w:val="24"/>
            <w:u w:val="single"/>
            <w:rtl w:val="0"/>
          </w:rPr>
          <w:t xml:space="preserve">https://ramarahmanda.medium.com/fasttext-and-imbalanced-classification-1f9543f9e0ce</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 text classification using TF-IDF features and ... - CEUR-WS.org, acceso: marzo 24, 2026, </w:t>
      </w:r>
      <w:hyperlink r:id="rId30">
        <w:r w:rsidDel="00000000" w:rsidR="00000000" w:rsidRPr="00000000">
          <w:rPr>
            <w:rFonts w:ascii="Google Sans" w:cs="Google Sans" w:eastAsia="Google Sans" w:hAnsi="Google Sans"/>
            <w:color w:val="0000ee"/>
            <w:sz w:val="24"/>
            <w:szCs w:val="24"/>
            <w:u w:val="single"/>
            <w:rtl w:val="0"/>
          </w:rPr>
          <w:t xml:space="preserve">https://ceur-ws.org/Vol-3181/paper59.pdf</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popular pre-trained Sentence Transformer models and how do they differ (for example, all-MiniLM-L6-v2 vs all-mpnet-base-v2)? - Milvus, acceso: marzo 24, 2026, </w:t>
      </w:r>
      <w:hyperlink r:id="rId31">
        <w:r w:rsidDel="00000000" w:rsidR="00000000" w:rsidRPr="00000000">
          <w:rPr>
            <w:rFonts w:ascii="Google Sans" w:cs="Google Sans" w:eastAsia="Google Sans" w:hAnsi="Google Sans"/>
            <w:color w:val="0000ee"/>
            <w:sz w:val="24"/>
            <w:szCs w:val="24"/>
            <w:u w:val="single"/>
            <w:rtl w:val="0"/>
          </w:rPr>
          <w:t xml:space="preserve">https://milvus.io/ai-quick-reference/what-are-some-popular-pretrained-sentence-transformer-models-and-how-do-they-differ-for-example-allminilml6v2-vs-allmpnetbasev2</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Transformer and Pre-Transformer Model-Based Sentiment Prediction with Various Embeddings: A Case Study on Amazon Reviews - PMC, acceso: marzo 24,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https://pmc.ncbi.nlm.nih.gov/articles/PMC12731383/</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differences in inference speed and memory usage might you observe between different Sentence Transformer architectures (for example, BERT-base vs DistilBERT vs RoBERTa-based models)? - Milvus, acceso: marzo 24, 2026, </w:t>
      </w:r>
      <w:hyperlink r:id="rId33">
        <w:r w:rsidDel="00000000" w:rsidR="00000000" w:rsidRPr="00000000">
          <w:rPr>
            <w:rFonts w:ascii="Google Sans" w:cs="Google Sans" w:eastAsia="Google Sans" w:hAnsi="Google Sans"/>
            <w:color w:val="0000ee"/>
            <w:sz w:val="24"/>
            <w:szCs w:val="24"/>
            <w:u w:val="single"/>
            <w:rtl w:val="0"/>
          </w:rPr>
          <w:t xml:space="preserve">https://milvus.io/ai-quick-reference/what-differences-in-inference-speed-and-memory-usage-might-you-observe-between-different-sentence-transformer-architectures-for-example-bertbase-vs-distilbert-vs-robertabased-models</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Open-Source Embedding Models Benchmarked and Ranked - Supermemory, acceso: marzo 24, 2026, </w:t>
      </w:r>
      <w:hyperlink r:id="rId34">
        <w:r w:rsidDel="00000000" w:rsidR="00000000" w:rsidRPr="00000000">
          <w:rPr>
            <w:rFonts w:ascii="Google Sans" w:cs="Google Sans" w:eastAsia="Google Sans" w:hAnsi="Google Sans"/>
            <w:color w:val="0000ee"/>
            <w:sz w:val="24"/>
            <w:szCs w:val="24"/>
            <w:u w:val="single"/>
            <w:rtl w:val="0"/>
          </w:rPr>
          <w:t xml:space="preserve">https://supermemory.ai/blog/best-open-source-embedding-models-benchmarked-and-ranked/</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Pretrained Models — Sentence Transformers documentation, acceso: marzo 24, 2026, </w:t>
      </w:r>
      <w:hyperlink r:id="rId35">
        <w:r w:rsidDel="00000000" w:rsidR="00000000" w:rsidRPr="00000000">
          <w:rPr>
            <w:rFonts w:ascii="Google Sans" w:cs="Google Sans" w:eastAsia="Google Sans" w:hAnsi="Google Sans"/>
            <w:color w:val="0000ee"/>
            <w:sz w:val="24"/>
            <w:szCs w:val="24"/>
            <w:u w:val="single"/>
            <w:rtl w:val="0"/>
          </w:rPr>
          <w:t xml:space="preserve">https://www.sbert.net/docs/sentence_transformer/pretrained_models.html</w:t>
        </w:r>
      </w:hyperlink>
      <w:r w:rsidDel="00000000" w:rsidR="00000000" w:rsidRPr="00000000">
        <w:rPr>
          <w:rtl w:val="0"/>
        </w:rPr>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Efficient Multi-Class Analysis of Consumer Complaints Using Frozen MiniLM Embeddings and Neural Networks - ResearchGate, acceso: marzo 24, 2026, </w:t>
      </w:r>
      <w:hyperlink r:id="rId36">
        <w:r w:rsidDel="00000000" w:rsidR="00000000" w:rsidRPr="00000000">
          <w:rPr>
            <w:rFonts w:ascii="Google Sans" w:cs="Google Sans" w:eastAsia="Google Sans" w:hAnsi="Google Sans"/>
            <w:color w:val="0000ee"/>
            <w:sz w:val="24"/>
            <w:szCs w:val="24"/>
            <w:u w:val="single"/>
            <w:rtl w:val="0"/>
          </w:rPr>
          <w:t xml:space="preserve">https://www.researchgate.net/publication/399364893_Efficient_Multi-Class_Analysis_of_Consumer_Complaints_Using_Frozen_MiniLM_Embeddings_and_Neural_Networks</w:t>
        </w:r>
      </w:hyperlink>
      <w:r w:rsidDel="00000000" w:rsidR="00000000" w:rsidRPr="00000000">
        <w:rPr>
          <w:rtl w:val="0"/>
        </w:rPr>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Sequence classification techniques for imbalanced datasets (Part-1) | by Manoj Kumar Vohra | Medium, acceso: marzo 24, 2026, </w:t>
      </w:r>
      <w:hyperlink r:id="rId37">
        <w:r w:rsidDel="00000000" w:rsidR="00000000" w:rsidRPr="00000000">
          <w:rPr>
            <w:rFonts w:ascii="Google Sans" w:cs="Google Sans" w:eastAsia="Google Sans" w:hAnsi="Google Sans"/>
            <w:color w:val="0000ee"/>
            <w:sz w:val="24"/>
            <w:szCs w:val="24"/>
            <w:u w:val="single"/>
            <w:rtl w:val="0"/>
          </w:rPr>
          <w:t xml:space="preserve">https://medium.com/@manojkumarvohra9/sequence-classification-techniques-for-imbalanced-datasets-part-1-e457837525fc</w:t>
        </w:r>
      </w:hyperlink>
      <w:r w:rsidDel="00000000" w:rsidR="00000000" w:rsidRPr="00000000">
        <w:rPr>
          <w:rtl w:val="0"/>
        </w:rPr>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Sentence Similarity Based on the All-minilm-l6-v2 Model With “Same Semantics, Different Structure” After Fine Tuning | Atlantis Press, acceso: marzo 24, 2026, </w:t>
      </w:r>
      <w:hyperlink r:id="rId38">
        <w:r w:rsidDel="00000000" w:rsidR="00000000" w:rsidRPr="00000000">
          <w:rPr>
            <w:rFonts w:ascii="Google Sans" w:cs="Google Sans" w:eastAsia="Google Sans" w:hAnsi="Google Sans"/>
            <w:color w:val="0000ee"/>
            <w:sz w:val="24"/>
            <w:szCs w:val="24"/>
            <w:u w:val="single"/>
            <w:rtl w:val="0"/>
          </w:rPr>
          <w:t xml:space="preserve">https://www.atlantis-press.com/proceedings/iciaai-24/126004096</w:t>
        </w:r>
      </w:hyperlink>
      <w:r w:rsidDel="00000000" w:rsidR="00000000" w:rsidRPr="00000000">
        <w:rPr>
          <w:rtl w:val="0"/>
        </w:rPr>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Comparative Analysis of Sentence Transformer Models for Automated Journal Recommendation Using PubMed Metadata - MDPI, acceso: marzo 24, 2026, </w:t>
      </w:r>
      <w:hyperlink r:id="rId39">
        <w:r w:rsidDel="00000000" w:rsidR="00000000" w:rsidRPr="00000000">
          <w:rPr>
            <w:rFonts w:ascii="Google Sans" w:cs="Google Sans" w:eastAsia="Google Sans" w:hAnsi="Google Sans"/>
            <w:color w:val="0000ee"/>
            <w:sz w:val="24"/>
            <w:szCs w:val="24"/>
            <w:u w:val="single"/>
            <w:rtl w:val="0"/>
          </w:rPr>
          <w:t xml:space="preserve">https://www.mdpi.com/2504-2289/9/3/67</w:t>
        </w:r>
      </w:hyperlink>
      <w:r w:rsidDel="00000000" w:rsidR="00000000" w:rsidRPr="00000000">
        <w:rPr>
          <w:rtl w:val="0"/>
        </w:rPr>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Google Colab Free GPU in detail | by Mehul Gupta | Data Science in Your Pocket | Medium, acceso: marzo 24, 2026, </w:t>
      </w:r>
      <w:hyperlink r:id="rId40">
        <w:r w:rsidDel="00000000" w:rsidR="00000000" w:rsidRPr="00000000">
          <w:rPr>
            <w:rFonts w:ascii="Google Sans" w:cs="Google Sans" w:eastAsia="Google Sans" w:hAnsi="Google Sans"/>
            <w:color w:val="0000ee"/>
            <w:sz w:val="24"/>
            <w:szCs w:val="24"/>
            <w:u w:val="single"/>
            <w:rtl w:val="0"/>
          </w:rPr>
          <w:t xml:space="preserve">https://medium.com/data-science-in-your-pocket/understanding-google-colab-free-gpu-in-detail-15074081d494</w:t>
        </w:r>
      </w:hyperlink>
      <w:r w:rsidDel="00000000" w:rsidR="00000000" w:rsidRPr="00000000">
        <w:rPr>
          <w:rtl w:val="0"/>
        </w:rPr>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Lightweight RAG System: Overcoming 12-Hour Runtime Constraints in Google Colab, acceso: marzo 24, 2026, </w:t>
      </w:r>
      <w:hyperlink r:id="rId41">
        <w:r w:rsidDel="00000000" w:rsidR="00000000" w:rsidRPr="00000000">
          <w:rPr>
            <w:rFonts w:ascii="Google Sans" w:cs="Google Sans" w:eastAsia="Google Sans" w:hAnsi="Google Sans"/>
            <w:color w:val="0000ee"/>
            <w:sz w:val="24"/>
            <w:szCs w:val="24"/>
            <w:u w:val="single"/>
            <w:rtl w:val="0"/>
          </w:rPr>
          <w:t xml:space="preserve">https://huggingface.co/blog/tugrulkaya/lightweight-rag-system</w:t>
        </w:r>
      </w:hyperlink>
      <w:r w:rsidDel="00000000" w:rsidR="00000000" w:rsidRPr="00000000">
        <w:rPr>
          <w:rtl w:val="0"/>
        </w:rPr>
      </w:r>
    </w:p>
    <w:p w:rsidR="00000000" w:rsidDel="00000000" w:rsidP="00000000" w:rsidRDefault="00000000" w:rsidRPr="00000000" w14:paraId="0000008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Speeding up Inference — Sentence Transformers documentation, acceso: marzo 24, 2026, </w:t>
      </w:r>
      <w:hyperlink r:id="rId42">
        <w:r w:rsidDel="00000000" w:rsidR="00000000" w:rsidRPr="00000000">
          <w:rPr>
            <w:rFonts w:ascii="Google Sans" w:cs="Google Sans" w:eastAsia="Google Sans" w:hAnsi="Google Sans"/>
            <w:color w:val="0000ee"/>
            <w:sz w:val="24"/>
            <w:szCs w:val="24"/>
            <w:u w:val="single"/>
            <w:rtl w:val="0"/>
          </w:rPr>
          <w:t xml:space="preserve">https://sbert.net/docs/sentence_transformer/usage/efficiency.html</w:t>
        </w:r>
      </w:hyperlink>
      <w:r w:rsidDel="00000000" w:rsidR="00000000" w:rsidRPr="00000000">
        <w:rPr>
          <w:rtl w:val="0"/>
        </w:rPr>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Analysing time complexity of sentence-transformers' model.encode | by neha tamore, acceso: marzo 24, 2026, </w:t>
      </w:r>
      <w:hyperlink r:id="rId43">
        <w:r w:rsidDel="00000000" w:rsidR="00000000" w:rsidRPr="00000000">
          <w:rPr>
            <w:rFonts w:ascii="Google Sans" w:cs="Google Sans" w:eastAsia="Google Sans" w:hAnsi="Google Sans"/>
            <w:color w:val="0000ee"/>
            <w:sz w:val="24"/>
            <w:szCs w:val="24"/>
            <w:u w:val="single"/>
            <w:rtl w:val="0"/>
          </w:rPr>
          <w:t xml:space="preserve">https://nehaytamore.medium.com/analysing-time-complexity-of-sentence-transformers-model-encode-b54733be2613</w:t>
        </w:r>
      </w:hyperlink>
      <w:r w:rsidDel="00000000" w:rsidR="00000000" w:rsidRPr="00000000">
        <w:rPr>
          <w:rtl w:val="0"/>
        </w:rPr>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Luxical: High-Speed Lexical-Dense Text Embeddings - arXiv, acceso: marzo 24, 2026, </w:t>
      </w:r>
      <w:hyperlink r:id="rId44">
        <w:r w:rsidDel="00000000" w:rsidR="00000000" w:rsidRPr="00000000">
          <w:rPr>
            <w:rFonts w:ascii="Google Sans" w:cs="Google Sans" w:eastAsia="Google Sans" w:hAnsi="Google Sans"/>
            <w:color w:val="0000ee"/>
            <w:sz w:val="24"/>
            <w:szCs w:val="24"/>
            <w:u w:val="single"/>
            <w:rtl w:val="0"/>
          </w:rPr>
          <w:t xml:space="preserve">https://arxiv.org/html/2512.09015v2</w:t>
        </w:r>
      </w:hyperlink>
      <w:r w:rsidDel="00000000" w:rsidR="00000000" w:rsidRPr="00000000">
        <w:rPr>
          <w:rtl w:val="0"/>
        </w:rPr>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and comparing different key phrase-based web scraping methods for training domain-specific fasttext models - Diva-Portal.org, acceso: marzo 24, 2026, </w:t>
      </w:r>
      <w:hyperlink r:id="rId45">
        <w:r w:rsidDel="00000000" w:rsidR="00000000" w:rsidRPr="00000000">
          <w:rPr>
            <w:rFonts w:ascii="Google Sans" w:cs="Google Sans" w:eastAsia="Google Sans" w:hAnsi="Google Sans"/>
            <w:color w:val="0000ee"/>
            <w:sz w:val="24"/>
            <w:szCs w:val="24"/>
            <w:u w:val="single"/>
            <w:rtl w:val="0"/>
          </w:rPr>
          <w:t xml:space="preserve">https://www.diva-portal.org/smash/get/diva2:1773382/FULLTEXT01.pdf</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Quarterly iDANAE: 3T19 - Interpretabilidad de los modelos de Inteligencia Artificial - UPM[Blogs], acceso: marzo 24, 2026, </w:t>
      </w:r>
      <w:hyperlink r:id="rId46">
        <w:r w:rsidDel="00000000" w:rsidR="00000000" w:rsidRPr="00000000">
          <w:rPr>
            <w:rFonts w:ascii="Google Sans" w:cs="Google Sans" w:eastAsia="Google Sans" w:hAnsi="Google Sans"/>
            <w:color w:val="0000ee"/>
            <w:sz w:val="24"/>
            <w:szCs w:val="24"/>
            <w:u w:val="single"/>
            <w:rtl w:val="0"/>
          </w:rPr>
          <w:t xml:space="preserve">https://blogs.upm.es/catedra-idanae/wp-content/uploads/sites/698/2019/09/3T19-Quarterly-iDANAE.pdf</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Logistic Regression Classification with TF-IDF and FastText for Sentiment Analysis of LinkedIn Reviews - ResearchGate, acceso: marzo 24,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https://www.researchgate.net/publication/383378392_Logistic_Regression_Classification_with_TF-IDF_and_FastText_for_Sentiment_Analysis_of_LinkedIn_Reviews</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Strategies to Handle Imbalanced Data Classification - Numerous.ai, acceso: marzo 24, 2026, </w:t>
      </w:r>
      <w:hyperlink r:id="rId48">
        <w:r w:rsidDel="00000000" w:rsidR="00000000" w:rsidRPr="00000000">
          <w:rPr>
            <w:rFonts w:ascii="Google Sans" w:cs="Google Sans" w:eastAsia="Google Sans" w:hAnsi="Google Sans"/>
            <w:color w:val="0000ee"/>
            <w:sz w:val="24"/>
            <w:szCs w:val="24"/>
            <w:u w:val="single"/>
            <w:rtl w:val="0"/>
          </w:rPr>
          <w:t xml:space="preserve">https://numerous.ai/blog/imbalanced-data-classification</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Classification: How Machine Learning Is Revolutionizing Text Categorization - MDPI, acceso: marzo 24, 2026, </w:t>
      </w:r>
      <w:hyperlink r:id="rId49">
        <w:r w:rsidDel="00000000" w:rsidR="00000000" w:rsidRPr="00000000">
          <w:rPr>
            <w:rFonts w:ascii="Google Sans" w:cs="Google Sans" w:eastAsia="Google Sans" w:hAnsi="Google Sans"/>
            <w:color w:val="0000ee"/>
            <w:sz w:val="24"/>
            <w:szCs w:val="24"/>
            <w:u w:val="single"/>
            <w:rtl w:val="0"/>
          </w:rPr>
          <w:t xml:space="preserve">https://www.mdpi.com/2078-2489/16/2/130</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Process of Text Classification System Using State-of-the-Art NLP Models - PMC, acceso: marzo 24, 2026,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https://pmc.ncbi.nlm.nih.gov/articles/PMC9203176/</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AI-Generated Essay Classification Using Numerical Text Representation - MDPI, acceso: marzo 24, 2026, </w:t>
      </w:r>
      <w:hyperlink r:id="rId51">
        <w:r w:rsidDel="00000000" w:rsidR="00000000" w:rsidRPr="00000000">
          <w:rPr>
            <w:rFonts w:ascii="Google Sans" w:cs="Google Sans" w:eastAsia="Google Sans" w:hAnsi="Google Sans"/>
            <w:color w:val="0000ee"/>
            <w:sz w:val="24"/>
            <w:szCs w:val="24"/>
            <w:u w:val="single"/>
            <w:rtl w:val="0"/>
          </w:rPr>
          <w:t xml:space="preserve">https://www.mdpi.com/2076-3417/14/21/9795</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Desarrollo de un modelo de Procesamiento del Lenguaje Natural para la extracción de información en documentos del dominio de la salud - RUA, acceso: marzo 24, 2026, </w:t>
      </w:r>
      <w:hyperlink r:id="rId52">
        <w:r w:rsidDel="00000000" w:rsidR="00000000" w:rsidRPr="00000000">
          <w:rPr>
            <w:rFonts w:ascii="Google Sans" w:cs="Google Sans" w:eastAsia="Google Sans" w:hAnsi="Google Sans"/>
            <w:color w:val="0000ee"/>
            <w:sz w:val="24"/>
            <w:szCs w:val="24"/>
            <w:u w:val="single"/>
            <w:rtl w:val="0"/>
          </w:rPr>
          <w:t xml:space="preserve">https://rua.ua.es/dspace/bitstream/10045/135626/1/TFM-Eduardo-Grande-Ruiz.pdf</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usar la IA en tu TFG/TFM - YouTube, acceso: marzo 24, 2026, </w:t>
      </w:r>
      <w:hyperlink r:id="rId53">
        <w:r w:rsidDel="00000000" w:rsidR="00000000" w:rsidRPr="00000000">
          <w:rPr>
            <w:rFonts w:ascii="Google Sans" w:cs="Google Sans" w:eastAsia="Google Sans" w:hAnsi="Google Sans"/>
            <w:color w:val="0000ee"/>
            <w:sz w:val="24"/>
            <w:szCs w:val="24"/>
            <w:u w:val="single"/>
            <w:rtl w:val="0"/>
          </w:rPr>
          <w:t xml:space="preserve">https://www.youtube.com/watch?v=bBCjF10iE_o</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manual-usuarios-GESCO3-mcsystem.pdf, acceso: marzo 24, 2026, </w:t>
      </w:r>
      <w:hyperlink r:id="rId54">
        <w:r w:rsidDel="00000000" w:rsidR="00000000" w:rsidRPr="00000000">
          <w:rPr>
            <w:rFonts w:ascii="Google Sans" w:cs="Google Sans" w:eastAsia="Google Sans" w:hAnsi="Google Sans"/>
            <w:color w:val="0000ee"/>
            <w:sz w:val="24"/>
            <w:szCs w:val="24"/>
            <w:u w:val="single"/>
            <w:rtl w:val="0"/>
          </w:rPr>
          <w:t xml:space="preserve">https://mcsystem.es/wp-content/uploads/2017/06/manual-usuarios-GESCO3-mcsystem.pdf</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Diferencias entre los SLM y los LLM: ¿Qué son los modelos de lenguaje pequeños?, acceso: marzo 24, 2026, </w:t>
      </w:r>
      <w:hyperlink r:id="rId55">
        <w:r w:rsidDel="00000000" w:rsidR="00000000" w:rsidRPr="00000000">
          <w:rPr>
            <w:rFonts w:ascii="Google Sans" w:cs="Google Sans" w:eastAsia="Google Sans" w:hAnsi="Google Sans"/>
            <w:color w:val="0000ee"/>
            <w:sz w:val="24"/>
            <w:szCs w:val="24"/>
            <w:u w:val="single"/>
            <w:rtl w:val="0"/>
          </w:rPr>
          <w:t xml:space="preserve">https://www.redhat.com/es/topics/ai/llm-vs-slm</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Approach Combining Machine Learning and a Rule-Based Expert System for Text Categorization. - ResearchGate, acceso: marzo 24, 2026,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https://www.researchgate.net/publication/221438964_Hybrid_Approach_Combining_Machine_Learning_and_a_Rule-Based_Expert_System_for_Text_Categorization</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Efficiency of Transformer Models with Varying Sizes for Text Classification: A Study of Rule-Based Annotation with DistilBERT and Other Transformers - World Scientific Publishing, acceso: marzo 24, 2026, </w:t>
      </w:r>
      <w:hyperlink r:id="rId57">
        <w:r w:rsidDel="00000000" w:rsidR="00000000" w:rsidRPr="00000000">
          <w:rPr>
            <w:rFonts w:ascii="Google Sans" w:cs="Google Sans" w:eastAsia="Google Sans" w:hAnsi="Google Sans"/>
            <w:color w:val="0000ee"/>
            <w:sz w:val="24"/>
            <w:szCs w:val="24"/>
            <w:u w:val="single"/>
            <w:rtl w:val="0"/>
          </w:rPr>
          <w:t xml:space="preserve">https://www.worldscientific.com/doi/full/10.1142/S2196888824500209</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[D]How to handle highly imbalanced dataset? : r/MachineLearning - Reddit, acceso: marzo 24, 2026, </w:t>
      </w:r>
      <w:hyperlink r:id="rId58">
        <w:r w:rsidDel="00000000" w:rsidR="00000000" w:rsidRPr="00000000">
          <w:rPr>
            <w:rFonts w:ascii="Google Sans" w:cs="Google Sans" w:eastAsia="Google Sans" w:hAnsi="Google Sans"/>
            <w:color w:val="0000ee"/>
            <w:sz w:val="24"/>
            <w:szCs w:val="24"/>
            <w:u w:val="single"/>
            <w:rtl w:val="0"/>
          </w:rPr>
          <w:t xml:space="preserve">https://www.reddit.com/r/MachineLearning/comments/1ir2zm3/dhow_to_handle_highly_imbalanced_dataset/</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Improved Classification Accuracy on Highly Imbalanced Text Dataset Using Deep Neural Language Models - MDPI, acceso: marzo 24, 2026, </w:t>
      </w:r>
      <w:hyperlink r:id="rId59">
        <w:r w:rsidDel="00000000" w:rsidR="00000000" w:rsidRPr="00000000">
          <w:rPr>
            <w:rFonts w:ascii="Google Sans" w:cs="Google Sans" w:eastAsia="Google Sans" w:hAnsi="Google Sans"/>
            <w:color w:val="0000ee"/>
            <w:sz w:val="24"/>
            <w:szCs w:val="24"/>
            <w:u w:val="single"/>
            <w:rtl w:val="0"/>
          </w:rPr>
          <w:t xml:space="preserve">https://www.mdpi.com/2076-3417/11/2/869</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MODELO DE DESCRIPCIÓN DE FUNCIONES Y PROCEDIMIENTOS DEL ORGANISMO INTERMEDIO FEDER 2021-2027 - Fondos Europeos Carm, acceso: marzo 24, 2026, </w:t>
      </w:r>
      <w:hyperlink r:id="rId60">
        <w:r w:rsidDel="00000000" w:rsidR="00000000" w:rsidRPr="00000000">
          <w:rPr>
            <w:rFonts w:ascii="Google Sans" w:cs="Google Sans" w:eastAsia="Google Sans" w:hAnsi="Google Sans"/>
            <w:color w:val="0000ee"/>
            <w:sz w:val="24"/>
            <w:szCs w:val="24"/>
            <w:u w:val="single"/>
            <w:rtl w:val="0"/>
          </w:rPr>
          <w:t xml:space="preserve">https://carmeuropa.carm.es/wp-content/uploads/2025/06/DESCRIPCION-DE-FUNCIONES-Y-PROCEDIMIENTOS-DEL-ORGANISMO-INTERMEDIO-FEDER-21-27-.pdf</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Colab, acceso: marzo 24, 2026, </w:t>
      </w:r>
      <w:hyperlink r:id="rId61">
        <w:r w:rsidDel="00000000" w:rsidR="00000000" w:rsidRPr="00000000">
          <w:rPr>
            <w:rFonts w:ascii="Google Sans" w:cs="Google Sans" w:eastAsia="Google Sans" w:hAnsi="Google Sans"/>
            <w:color w:val="0000ee"/>
            <w:sz w:val="24"/>
            <w:szCs w:val="24"/>
            <w:u w:val="single"/>
            <w:rtl w:val="0"/>
          </w:rPr>
          <w:t xml:space="preserve">https://research.google.com/colaboratory/faq.html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data-science-in-your-pocket/understanding-google-colab-free-gpu-in-detail-15074081d494" TargetMode="External"/><Relationship Id="rId42" Type="http://schemas.openxmlformats.org/officeDocument/2006/relationships/hyperlink" Target="https://sbert.net/docs/sentence_transformer/usage/efficiency.html" TargetMode="External"/><Relationship Id="rId41" Type="http://schemas.openxmlformats.org/officeDocument/2006/relationships/hyperlink" Target="https://huggingface.co/blog/tugrulkaya/lightweight-rag-system" TargetMode="External"/><Relationship Id="rId44" Type="http://schemas.openxmlformats.org/officeDocument/2006/relationships/hyperlink" Target="https://arxiv.org/html/2512.09015v2" TargetMode="External"/><Relationship Id="rId43" Type="http://schemas.openxmlformats.org/officeDocument/2006/relationships/hyperlink" Target="https://nehaytamore.medium.com/analysing-time-complexity-of-sentence-transformers-model-encode-b54733be2613" TargetMode="External"/><Relationship Id="rId46" Type="http://schemas.openxmlformats.org/officeDocument/2006/relationships/hyperlink" Target="https://blogs.upm.es/catedra-idanae/wp-content/uploads/sites/698/2019/09/3T19-Quarterly-iDANAE.pdf" TargetMode="External"/><Relationship Id="rId45" Type="http://schemas.openxmlformats.org/officeDocument/2006/relationships/hyperlink" Target="https://www.diva-portal.org/smash/get/diva2:1773382/FULLTEXT0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numerous.ai/blog/imbalanced-data-classification" TargetMode="External"/><Relationship Id="rId47" Type="http://schemas.openxmlformats.org/officeDocument/2006/relationships/hyperlink" Target="https://www.researchgate.net/publication/383378392_Logistic_Regression_Classification_with_TF-IDF_and_FastText_for_Sentiment_Analysis_of_LinkedIn_Reviews" TargetMode="External"/><Relationship Id="rId49" Type="http://schemas.openxmlformats.org/officeDocument/2006/relationships/hyperlink" Target="https://www.mdpi.com/2078-2489/16/2/13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milvus.io/ai-quick-reference/what-are-some-popular-pretrained-sentence-transformer-models-and-how-do-they-differ-for-example-allminilml6v2-vs-allmpnetbasev2" TargetMode="External"/><Relationship Id="rId30" Type="http://schemas.openxmlformats.org/officeDocument/2006/relationships/hyperlink" Target="https://ceur-ws.org/Vol-3181/paper59.pdf" TargetMode="External"/><Relationship Id="rId33" Type="http://schemas.openxmlformats.org/officeDocument/2006/relationships/hyperlink" Target="https://milvus.io/ai-quick-reference/what-differences-in-inference-speed-and-memory-usage-might-you-observe-between-different-sentence-transformer-architectures-for-example-bertbase-vs-distilbert-vs-robertabased-models" TargetMode="External"/><Relationship Id="rId32" Type="http://schemas.openxmlformats.org/officeDocument/2006/relationships/hyperlink" Target="https://pmc.ncbi.nlm.nih.gov/articles/PMC12731383/" TargetMode="External"/><Relationship Id="rId35" Type="http://schemas.openxmlformats.org/officeDocument/2006/relationships/hyperlink" Target="https://www.sbert.net/docs/sentence_transformer/pretrained_models.html" TargetMode="External"/><Relationship Id="rId34" Type="http://schemas.openxmlformats.org/officeDocument/2006/relationships/hyperlink" Target="https://supermemory.ai/blog/best-open-source-embedding-models-benchmarked-and-ranked/" TargetMode="External"/><Relationship Id="rId37" Type="http://schemas.openxmlformats.org/officeDocument/2006/relationships/hyperlink" Target="https://medium.com/@manojkumarvohra9/sequence-classification-techniques-for-imbalanced-datasets-part-1-e457837525fc" TargetMode="External"/><Relationship Id="rId36" Type="http://schemas.openxmlformats.org/officeDocument/2006/relationships/hyperlink" Target="https://www.researchgate.net/publication/399364893_Efficient_Multi-Class_Analysis_of_Consumer_Complaints_Using_Frozen_MiniLM_Embeddings_and_Neural_Networks" TargetMode="External"/><Relationship Id="rId39" Type="http://schemas.openxmlformats.org/officeDocument/2006/relationships/hyperlink" Target="https://www.mdpi.com/2504-2289/9/3/67" TargetMode="External"/><Relationship Id="rId38" Type="http://schemas.openxmlformats.org/officeDocument/2006/relationships/hyperlink" Target="https://www.atlantis-press.com/proceedings/iciaai-24/126004096" TargetMode="External"/><Relationship Id="rId61" Type="http://schemas.openxmlformats.org/officeDocument/2006/relationships/hyperlink" Target="https://research.google.com/colaboratory/faq.html" TargetMode="External"/><Relationship Id="rId20" Type="http://schemas.openxmlformats.org/officeDocument/2006/relationships/hyperlink" Target="https://www.euskadi.eus/contenidos/informacion/po_fse_21_27_web/es_def/adjuntos/2-Sistemas-de-gestion-y-control.pdf" TargetMode="External"/><Relationship Id="rId22" Type="http://schemas.openxmlformats.org/officeDocument/2006/relationships/hyperlink" Target="https://www.aprendemachinelearning.com/interpretacion-de-modelos-de-machine-learning/" TargetMode="External"/><Relationship Id="rId21" Type="http://schemas.openxmlformats.org/officeDocument/2006/relationships/hyperlink" Target="https://medium.com/@javiersospedralegarda/power-of-words-in-nlp-a-battle-of-text-transformers-tf-idf-vs-d9dec6922684" TargetMode="External"/><Relationship Id="rId24" Type="http://schemas.openxmlformats.org/officeDocument/2006/relationships/hyperlink" Target="https://www.sigesa.com/la-interpretabilidad-en-el-aprendizaje-automatico/" TargetMode="External"/><Relationship Id="rId23" Type="http://schemas.openxmlformats.org/officeDocument/2006/relationships/hyperlink" Target="https://revistacanarias.tirant.com/index.php/revista-canaria/article/view/42" TargetMode="External"/><Relationship Id="rId60" Type="http://schemas.openxmlformats.org/officeDocument/2006/relationships/hyperlink" Target="https://carmeuropa.carm.es/wp-content/uploads/2025/06/DESCRIPCION-DE-FUNCIONES-Y-PROCEDIMIENTOS-DEL-ORGANISMO-INTERMEDIO-FEDER-21-27-.pdf" TargetMode="External"/><Relationship Id="rId26" Type="http://schemas.openxmlformats.org/officeDocument/2006/relationships/hyperlink" Target="https://machinelearningmastery.com/llm-embeddings-vs-tf-idf-vs-bag-of-words-which-works-better-in-scikit-learn/" TargetMode="External"/><Relationship Id="rId25" Type="http://schemas.openxmlformats.org/officeDocument/2006/relationships/hyperlink" Target="https://medium.com/@venugopal.adep/comparative-study-of-text-embeddings-tf-idf-vs-sentence-transformer-28627c315f21" TargetMode="External"/><Relationship Id="rId28" Type="http://schemas.openxmlformats.org/officeDocument/2006/relationships/hyperlink" Target="https://dev.to/simplr_sh/comparing-popular-embedding-models-choosing-the-right-one-for-your-use-case-43p1" TargetMode="External"/><Relationship Id="rId27" Type="http://schemas.openxmlformats.org/officeDocument/2006/relationships/hyperlink" Target="https://toloka.ai/blog/choosing-architecture-for-text-classification/" TargetMode="External"/><Relationship Id="rId29" Type="http://schemas.openxmlformats.org/officeDocument/2006/relationships/hyperlink" Target="https://ramarahmanda.medium.com/fasttext-and-imbalanced-classification-1f9543f9e0ce" TargetMode="External"/><Relationship Id="rId51" Type="http://schemas.openxmlformats.org/officeDocument/2006/relationships/hyperlink" Target="https://www.mdpi.com/2076-3417/14/21/9795" TargetMode="External"/><Relationship Id="rId50" Type="http://schemas.openxmlformats.org/officeDocument/2006/relationships/hyperlink" Target="https://pmc.ncbi.nlm.nih.gov/articles/PMC9203176/" TargetMode="External"/><Relationship Id="rId53" Type="http://schemas.openxmlformats.org/officeDocument/2006/relationships/hyperlink" Target="https://www.youtube.com/watch?v=bBCjF10iE_o" TargetMode="External"/><Relationship Id="rId52" Type="http://schemas.openxmlformats.org/officeDocument/2006/relationships/hyperlink" Target="https://rua.ua.es/dspace/bitstream/10045/135626/1/TFM-Eduardo-Grande-Ruiz.pdf" TargetMode="External"/><Relationship Id="rId11" Type="http://schemas.openxmlformats.org/officeDocument/2006/relationships/image" Target="media/image6.png"/><Relationship Id="rId55" Type="http://schemas.openxmlformats.org/officeDocument/2006/relationships/hyperlink" Target="https://www.redhat.com/es/topics/ai/llm-vs-slm" TargetMode="External"/><Relationship Id="rId10" Type="http://schemas.openxmlformats.org/officeDocument/2006/relationships/image" Target="media/image4.png"/><Relationship Id="rId54" Type="http://schemas.openxmlformats.org/officeDocument/2006/relationships/hyperlink" Target="https://mcsystem.es/wp-content/uploads/2017/06/manual-usuarios-GESCO3-mcsystem.pdf" TargetMode="External"/><Relationship Id="rId13" Type="http://schemas.openxmlformats.org/officeDocument/2006/relationships/hyperlink" Target="https://fondosestructurales.castillalamancha.es/sites/default/files/2025-02/31_10_22_p-basico_acordado-com.pdf" TargetMode="External"/><Relationship Id="rId57" Type="http://schemas.openxmlformats.org/officeDocument/2006/relationships/hyperlink" Target="https://www.worldscientific.com/doi/full/10.1142/S2196888824500209" TargetMode="External"/><Relationship Id="rId12" Type="http://schemas.openxmlformats.org/officeDocument/2006/relationships/hyperlink" Target="https://sede.carm.es/web/pagina?IDCONTENIDO=4416&amp;IDTIPO=240&amp;RASTRO=c$m40288" TargetMode="External"/><Relationship Id="rId56" Type="http://schemas.openxmlformats.org/officeDocument/2006/relationships/hyperlink" Target="https://www.researchgate.net/publication/221438964_Hybrid_Approach_Combining_Machine_Learning_and_a_Rule-Based_Expert_System_for_Text_Categorization" TargetMode="External"/><Relationship Id="rId15" Type="http://schemas.openxmlformats.org/officeDocument/2006/relationships/hyperlink" Target="https://www.dsca.gob.es/es/derechos-sociales/inclusion/programa-basico-fondo-social-europeo%2B" TargetMode="External"/><Relationship Id="rId59" Type="http://schemas.openxmlformats.org/officeDocument/2006/relationships/hyperlink" Target="https://www.mdpi.com/2076-3417/11/2/869" TargetMode="External"/><Relationship Id="rId14" Type="http://schemas.openxmlformats.org/officeDocument/2006/relationships/hyperlink" Target="https://www.gobiernodecanarias.org/bienestarsocial/inclusionsocial/tarjetas-servicio/" TargetMode="External"/><Relationship Id="rId58" Type="http://schemas.openxmlformats.org/officeDocument/2006/relationships/hyperlink" Target="https://www.reddit.com/r/MachineLearning/comments/1ir2zm3/dhow_to_handle_highly_imbalanced_dataset/" TargetMode="External"/><Relationship Id="rId17" Type="http://schemas.openxmlformats.org/officeDocument/2006/relationships/hyperlink" Target="https://bomemelilla.es/bome/BOME-B-2025-6340/articulo/1358" TargetMode="External"/><Relationship Id="rId16" Type="http://schemas.openxmlformats.org/officeDocument/2006/relationships/hyperlink" Target="https://www.comunidad.madrid/servicios/servicios-sociales/programa-asistencia-material-basica" TargetMode="External"/><Relationship Id="rId19" Type="http://schemas.openxmlformats.org/officeDocument/2006/relationships/hyperlink" Target="https://www.mites.gob.es/UAFSE/ficheros/FSE21_27/indicadores/orientacion_indicadores.pdf" TargetMode="External"/><Relationship Id="rId18" Type="http://schemas.openxmlformats.org/officeDocument/2006/relationships/hyperlink" Target="https://laadministracionaldia.inap.es/noticia.asp?id=12542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