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8499DE" w14:textId="06724E8E" w:rsidR="006D0069" w:rsidRPr="00477B6F" w:rsidRDefault="006D0069" w:rsidP="00477B6F">
      <w:pPr>
        <w:pStyle w:val="Prrafodelista"/>
        <w:numPr>
          <w:ilvl w:val="0"/>
          <w:numId w:val="1"/>
        </w:numPr>
        <w:rPr>
          <w:b/>
          <w:bCs/>
        </w:rPr>
      </w:pPr>
      <w:r w:rsidRPr="00477B6F">
        <w:rPr>
          <w:b/>
          <w:bCs/>
        </w:rPr>
        <w:t>INTRODUCCION</w:t>
      </w:r>
    </w:p>
    <w:p w14:paraId="661A2944" w14:textId="3C40FF08" w:rsidR="006D0069" w:rsidRDefault="006D0069" w:rsidP="006D0069">
      <w:r>
        <w:t>El presente Trabajo Fin de Máster se sitúa en la intersección entre la Inteligencia Artificial, la Ciencia de Datos y la gestión operativa de programas sociales, y tiene como finalidad diseñar un sistema de apoyo a la validación económica de un Programa Básico, centrado en la clasificaci</w:t>
      </w:r>
      <w:r>
        <w:rPr>
          <w:rFonts w:ascii="Aptos" w:hAnsi="Aptos" w:cs="Aptos"/>
        </w:rPr>
        <w:t>ó</w:t>
      </w:r>
      <w:r>
        <w:t>n autom</w:t>
      </w:r>
      <w:r>
        <w:rPr>
          <w:rFonts w:ascii="Aptos" w:hAnsi="Aptos" w:cs="Aptos"/>
        </w:rPr>
        <w:t>á</w:t>
      </w:r>
      <w:r>
        <w:t>tica de los art</w:t>
      </w:r>
      <w:r>
        <w:rPr>
          <w:rFonts w:ascii="Aptos" w:hAnsi="Aptos" w:cs="Aptos"/>
        </w:rPr>
        <w:t>í</w:t>
      </w:r>
      <w:r>
        <w:t>culos adquiridos con una tarjeta monedero y registrados en un Fichero 03 de detalle de tickets. En t</w:t>
      </w:r>
      <w:r>
        <w:rPr>
          <w:rFonts w:ascii="Aptos" w:hAnsi="Aptos" w:cs="Aptos"/>
        </w:rPr>
        <w:t>é</w:t>
      </w:r>
      <w:r>
        <w:t>rminos funcionales, el sistema pretende determinar, para cada l</w:t>
      </w:r>
      <w:r>
        <w:rPr>
          <w:rFonts w:ascii="Aptos" w:hAnsi="Aptos" w:cs="Aptos"/>
        </w:rPr>
        <w:t>í</w:t>
      </w:r>
      <w:r>
        <w:t>nea de producto, si el art</w:t>
      </w:r>
      <w:r>
        <w:rPr>
          <w:rFonts w:ascii="Aptos" w:hAnsi="Aptos" w:cs="Aptos"/>
        </w:rPr>
        <w:t>í</w:t>
      </w:r>
      <w:r>
        <w:t xml:space="preserve">culo debe considerarse permitido o no permitido conforme al criterio operativo del programa, de modo que su resultado pueda contribuir a la revisión de tickets, a la detección de importes no subvencionables y, en su caso, a la preparación de procesos de abono o rectificación con los supermercados proveedores. Esta finalidad se alinea con la orientación práctica y de impacto del ámbito de la IA y el Data Science, así como con el enfoque de ENAE, que concibe estos estudios como herramientas para transformar datos complejos en decisiones útiles para la organización y el negocio. </w:t>
      </w:r>
    </w:p>
    <w:p w14:paraId="14AE0D84" w14:textId="6D810F87" w:rsidR="006D0069" w:rsidRDefault="006D0069" w:rsidP="006D0069">
      <w:r>
        <w:t xml:space="preserve">La situación actual del problema parte de un contexto organizativo muy específico. El Programa Básico exige que las compras realizadas con la tarjeta monedero se correspondan con productos subvencionables, y para ello los supermercados deben remitir periódicamente varios ficheros de consumo, entre los cuales el Fichero 03 contiene el detalle de artículos por ticket. La práctica de gestión ha demostrado que la validación manual de estos productos es costosa, propensa a inconsistencias y difícil de sostener cuando aumenta la volumetría del dato. Además, aunque actualmente existen mecanismos de detección de artículos no permitidos basados en categorías como familia o subfamilia, la propia documentación interna del programa identifica como línea de innovación la necesidad de detectar productos no permitidos a nivel de descripción del artículo, ya que muchos casos conflictivos no quedan correctamente resueltos con la taxonomía comercial del proveedor. A ello se añade la heterogeneidad entre supermercados, la existencia de errores de formato y consistencia en los ficheros, y la necesidad de que toda decisión de exclusión de gasto se traduzca correctamente en el circuito de abonos y en la justificación económica final. </w:t>
      </w:r>
    </w:p>
    <w:p w14:paraId="7449456F" w14:textId="1361885E" w:rsidR="006D0069" w:rsidRDefault="006D0069" w:rsidP="006D0069">
      <w:r>
        <w:t xml:space="preserve">A partir de este diagnóstico, el objetivo general del trabajo consiste en desarrollar y evaluar un sistema híbrido de clasificación de artículos que combine conocimiento experto y aprendizaje supervisado para etiquetar líneas del Fichero 03 como PERMITIDO o NO PERMITIDO. De este objetivo general se derivan varios objetivos específicos: en primer lugar, comprender y formalizar el proceso de negocio en el que se inserta la clasificación, incluyendo la relación entre los ficheros 01, 02, 03 y los ficheros de abono; en segundo lugar, analizar y depurar el conjunto de datos disponible, identificando problemas de calidad, </w:t>
      </w:r>
      <w:r>
        <w:lastRenderedPageBreak/>
        <w:t>inconsistencias y riesgos de sesgo en el histórico etiquetado; en tercer lugar, diseñar una solución metodológica híbrida que integre reglas basadas en taxonomía comercial con modelos de clasificación aplicados a descripciones de producto; y, por último, evaluar el sistema con métricas acordes al coste real de error, prestando especial atención a la detección de productos no permitidos y a su utilidad como apoyo a la revisión territorial. Esta formulación conecta con trabajos previos sobre clasificación automática de productos retail, categorización textual y tratamiento de líneas de factura, donde se ha demostrado la pertinencia de combinar texto libre, taxonomía y reglas expertas para reducir el esfuerzo manual y mejorar la consistencia clasificatoria.</w:t>
      </w:r>
    </w:p>
    <w:p w14:paraId="44DD4AA3" w14:textId="1B00E226" w:rsidR="003A1F71" w:rsidRDefault="006D0069" w:rsidP="006D0069">
      <w:r>
        <w:t>El resto del trabajo se estructura del siguiente modo. En primer lugar, se presenta el marco conceptual y de negocio, donde se describe el funcionamiento del Programa BÁSICO, el papel de los ficheros de consumo y abonos y las restricciones normativas y operativas que condicionan la clasificación. En segundo lugar, se desarrolla la comprensión de los datos, detallando la estructura del Fichero 03, las variables disponibles, la variable objetivo del histórico etiquetado y los principales problemas de calidad del dato. A continuación, se expone la metodología propuesta, justificando la adopción de un enfoque híbrido y describiendo el pipeline de validación, normalización, modelado y revisión. Posteriormente, se presentan los experimentos y resultados, tanto en términos de rendimiento predictivo como de utilidad operativa para el proceso de validación económica. Finalmente, el trabajo concluye con una discusión crítica sobre las limitaciones del sistema, sus posibilidades de generalización y las líneas futuras de mejora, en particular su integración con los mecanismos de seguimiento, monitoreo y gobernanza del dato ya existentes en el programa. Esta estructura responde a las recomendaciones habituales de los TFM en el ámbito de la IA, que sitúan la introducción como espacio para justificar el problema, delimitar los objetivos y anticipar la organización argumental del documento</w:t>
      </w:r>
      <w:r w:rsidR="00CD7A84">
        <w:t>.</w:t>
      </w:r>
    </w:p>
    <w:p w14:paraId="278E7974" w14:textId="77777777" w:rsidR="00CD7A84" w:rsidRDefault="00CD7A84" w:rsidP="006D0069"/>
    <w:p w14:paraId="109370F4" w14:textId="691D068E" w:rsidR="00DC6A76" w:rsidRPr="00DC6A76" w:rsidRDefault="00DC6A76" w:rsidP="00DC6A76">
      <w:pPr>
        <w:rPr>
          <w:lang w:val="es-EC"/>
        </w:rPr>
      </w:pPr>
    </w:p>
    <w:p w14:paraId="0360FAB7" w14:textId="2479F377" w:rsidR="00DC6A76" w:rsidRPr="00DC6A76" w:rsidRDefault="00DC6A76" w:rsidP="00DC6A76">
      <w:pPr>
        <w:pStyle w:val="Prrafodelista"/>
        <w:numPr>
          <w:ilvl w:val="0"/>
          <w:numId w:val="1"/>
        </w:numPr>
        <w:rPr>
          <w:b/>
          <w:bCs/>
          <w:lang w:val="es-EC"/>
        </w:rPr>
      </w:pPr>
      <w:r w:rsidRPr="00DC6A76">
        <w:rPr>
          <w:b/>
          <w:bCs/>
          <w:lang w:val="es-EC"/>
        </w:rPr>
        <w:t xml:space="preserve"> Estado del Arte</w:t>
      </w:r>
    </w:p>
    <w:p w14:paraId="4FBE09D4" w14:textId="77777777" w:rsidR="00DC6A76" w:rsidRDefault="00DC6A76" w:rsidP="00DC6A76">
      <w:pPr>
        <w:rPr>
          <w:lang w:val="es-EC"/>
        </w:rPr>
      </w:pPr>
      <w:r w:rsidRPr="00DC6A76">
        <w:rPr>
          <w:b/>
          <w:bCs/>
          <w:lang w:val="es-EC"/>
        </w:rPr>
        <w:t>Revisión de la literatura</w:t>
      </w:r>
      <w:r w:rsidRPr="00DC6A76">
        <w:rPr>
          <w:lang w:val="es-EC"/>
        </w:rPr>
        <w:t xml:space="preserve"> </w:t>
      </w:r>
    </w:p>
    <w:p w14:paraId="3A7EE931" w14:textId="382FB396" w:rsidR="00DC6A76" w:rsidRPr="00DC6A76" w:rsidRDefault="00DC6A76" w:rsidP="00DC6A76">
      <w:pPr>
        <w:rPr>
          <w:lang w:val="es-EC"/>
        </w:rPr>
      </w:pPr>
      <w:r w:rsidRPr="00DC6A76">
        <w:rPr>
          <w:lang w:val="es-EC"/>
        </w:rPr>
        <w:t xml:space="preserve">La clasificación automatizada de descripciones minoristas asimétricas y la resolución de entidades (Entity Resolution) constituyen un desafío crítico debido al ruido sintáctico, los truncamientos y la ausencia de una taxonomía universal en los tiques de compra. La literatura académica establece que las representaciones de Frecuencia de Término y Frecuencia Inversa de Documento (TF-IDF) acopladas a clasificadores lineales, como las Máquinas de Vectores de Soporte (SVM) o la </w:t>
      </w:r>
      <w:r w:rsidRPr="00DC6A76">
        <w:rPr>
          <w:lang w:val="es-EC"/>
        </w:rPr>
        <w:lastRenderedPageBreak/>
        <w:t xml:space="preserve">Regresión Logística, representan un </w:t>
      </w:r>
      <w:r w:rsidRPr="00DC6A76">
        <w:rPr>
          <w:i/>
          <w:iCs/>
          <w:lang w:val="es-EC"/>
        </w:rPr>
        <w:t>baseline</w:t>
      </w:r>
      <w:r w:rsidRPr="00DC6A76">
        <w:rPr>
          <w:lang w:val="es-EC"/>
        </w:rPr>
        <w:t xml:space="preserve"> metodológico robusto. Bai (2011) demostró que estos modelos dispersos alcanzan precisiones superiores al 92% en textos asimétricos, mientras que Santos Kieckbusch (2022) validó empíricamente con el sistema SCAN-NF que la combinación SVM y TF-IDF es capaz de clasificar códigos de facturas fiscales con un 98% de precisión, superando frecuentemente a redes neuronales convolucionales.</w:t>
      </w:r>
    </w:p>
    <w:p w14:paraId="31C4C4CF" w14:textId="4304725A" w:rsidR="00DC6A76" w:rsidRPr="00DC6A76" w:rsidRDefault="00DC6A76" w:rsidP="00DC6A76">
      <w:pPr>
        <w:rPr>
          <w:lang w:val="es-EC"/>
        </w:rPr>
      </w:pPr>
      <w:r w:rsidRPr="00DC6A76">
        <w:rPr>
          <w:lang w:val="es-EC"/>
        </w:rPr>
        <w:t>A pesar de su interpretabilidad, los enfoques léxicos estáticos son vulnerables a las palabras fuera de vocabulario (OOV) y errores ortográficos típicos de impresoras térmicas. Para mitigar esta deficiencia, Bojanowski et al. (2017) introdujeron fastText, una arquitectura que modela las palabras como agregaciones de n-gramas de caracteres. Esta innovación permite reconstruir representaciones vectoriales de cadenas corrompidas (ej., "LCHE" en lugar de "LECHE") logrando altos niveles de precisión con un coste computacional ínfimo, siendo una solución idónea para implementaciones en Unidades Centrales de Procesamiento (CPU) genéricas como las de Google Colab,.</w:t>
      </w:r>
    </w:p>
    <w:p w14:paraId="64BF0207" w14:textId="5AA26FC9" w:rsidR="00DC6A76" w:rsidRPr="00DC6A76" w:rsidRDefault="00DC6A76" w:rsidP="00DC6A76">
      <w:pPr>
        <w:rPr>
          <w:lang w:val="es-EC"/>
        </w:rPr>
      </w:pPr>
      <w:r w:rsidRPr="00DC6A76">
        <w:rPr>
          <w:lang w:val="es-EC"/>
        </w:rPr>
        <w:t xml:space="preserve">En la frontera del estado del arte, los modelos de lenguaje basados en transformadores han revolucionado la resolución semántica. Mudgal et al. (2018) sentaron las bases con </w:t>
      </w:r>
      <w:r w:rsidRPr="00DC6A76">
        <w:rPr>
          <w:i/>
          <w:iCs/>
          <w:lang w:val="es-EC"/>
        </w:rPr>
        <w:t>DeepMatcher</w:t>
      </w:r>
      <w:r w:rsidRPr="00DC6A76">
        <w:rPr>
          <w:lang w:val="es-EC"/>
        </w:rPr>
        <w:t xml:space="preserve">, seguidos por Li et al. (2020), cuyo sistema </w:t>
      </w:r>
      <w:r w:rsidRPr="00DC6A76">
        <w:rPr>
          <w:i/>
          <w:iCs/>
          <w:lang w:val="es-EC"/>
        </w:rPr>
        <w:t>DITTO</w:t>
      </w:r>
      <w:r w:rsidRPr="00DC6A76">
        <w:rPr>
          <w:lang w:val="es-EC"/>
        </w:rPr>
        <w:t xml:space="preserve"> demostró la superioridad de inyectar ruido estructurado y conocimiento de dominio en los transformadores para la resolución de entidades asimétricas. Paralelamente, Anggoro (2026) comprobó en el ámbito de facturas aduaneras que los modelos destilados toleran niveles de ruido léxico que colapsan a los modelos estadísticos. El obstáculo de los Transformers en entornos de memoria limitada se solventa mediante técnicas de destilación estática (como </w:t>
      </w:r>
      <w:r w:rsidRPr="00DC6A76">
        <w:rPr>
          <w:i/>
          <w:iCs/>
          <w:lang w:val="es-EC"/>
        </w:rPr>
        <w:t>Model2Vec</w:t>
      </w:r>
      <w:r w:rsidRPr="00DC6A76">
        <w:rPr>
          <w:lang w:val="es-EC"/>
        </w:rPr>
        <w:t>), las cuales comprimen el modelo reteniendo el 92% de la precisión y acelerando la inferencia hasta 500 veces. Adicionalmente, para los procesos de bloqueo léxico (Record Linkage de Peter Christen), herramientas optimizadas en C++ como RapidFuzz superan a métodos tradicionales por márgenes de velocidad del 40%, utilizando recursos mínimos de memoria (RAM).</w:t>
      </w:r>
    </w:p>
    <w:p w14:paraId="3A8010EB" w14:textId="77777777" w:rsidR="00DC6A76" w:rsidRDefault="00DC6A76" w:rsidP="00DC6A76">
      <w:pPr>
        <w:rPr>
          <w:lang w:val="es-EC"/>
        </w:rPr>
      </w:pPr>
      <w:r w:rsidRPr="00DC6A76">
        <w:rPr>
          <w:b/>
          <w:bCs/>
          <w:lang w:val="es-EC"/>
        </w:rPr>
        <w:t>Soluciones existentes en el mercado</w:t>
      </w:r>
      <w:r w:rsidRPr="00DC6A76">
        <w:rPr>
          <w:lang w:val="es-EC"/>
        </w:rPr>
        <w:t xml:space="preserve"> </w:t>
      </w:r>
    </w:p>
    <w:p w14:paraId="0EBDB5AA" w14:textId="1A4545A0" w:rsidR="00DC6A76" w:rsidRPr="00DC6A76" w:rsidRDefault="00DC6A76" w:rsidP="00DC6A76">
      <w:pPr>
        <w:rPr>
          <w:lang w:val="es-EC"/>
        </w:rPr>
      </w:pPr>
      <w:r w:rsidRPr="00DC6A76">
        <w:rPr>
          <w:lang w:val="es-EC"/>
        </w:rPr>
        <w:t>El sector corporativo de Procesamiento Inteligente de Documentos (IDP) está liderado por herramientas avanzadas de extracción. Servicios en la nube como Azure AI Document Intelligence reportan precisiones del 93% en la estructura de facturas, AWS Textract del 82% a nivel de línea de detalle, y plataformas cognitivas como Rossum AI alcanzan métricas superiores integrando validación humana.</w:t>
      </w:r>
    </w:p>
    <w:p w14:paraId="1EEEFC8C" w14:textId="5052F9C8" w:rsidR="00DC6A76" w:rsidRPr="00DC6A76" w:rsidRDefault="00DC6A76" w:rsidP="00DC6A76">
      <w:pPr>
        <w:rPr>
          <w:lang w:val="es-EC"/>
        </w:rPr>
      </w:pPr>
      <w:r w:rsidRPr="00DC6A76">
        <w:rPr>
          <w:lang w:val="es-EC"/>
        </w:rPr>
        <w:t xml:space="preserve">No obstante, existe un hiato aplicativo crítico: las plataformas de IDP y orquestación (ej. HighRadius o SAP) se centran en el Reconocimiento Óptico de Caracteres (OCR) y en la conciliación estructurada contra órdenes de compra B2B (basadas en códigos unificados). Herramientas generales como Google Document </w:t>
      </w:r>
      <w:r w:rsidRPr="00DC6A76">
        <w:rPr>
          <w:lang w:val="es-EC"/>
        </w:rPr>
        <w:lastRenderedPageBreak/>
        <w:t xml:space="preserve">AI fallan al separar atributos complejos en líneas minoristas libres. Ninguna solución comercial preempaquetada ofrece una evaluación </w:t>
      </w:r>
      <w:r w:rsidRPr="00DC6A76">
        <w:rPr>
          <w:i/>
          <w:iCs/>
          <w:lang w:val="es-EC"/>
        </w:rPr>
        <w:t>zero-shot</w:t>
      </w:r>
      <w:r w:rsidRPr="00DC6A76">
        <w:rPr>
          <w:lang w:val="es-EC"/>
        </w:rPr>
        <w:t xml:space="preserve"> determinista, frugál y auditable capaz de cruzar descripciones asimétricas contra una ontología regulatoria gubernamental de gasto social (Programa BÁSICO), justificando así la creación de un sistema analítico propio.</w:t>
      </w:r>
    </w:p>
    <w:p w14:paraId="515B4CC4" w14:textId="77777777" w:rsidR="00DC6A76" w:rsidRPr="00DC6A76" w:rsidRDefault="00000000" w:rsidP="00DC6A76">
      <w:pPr>
        <w:rPr>
          <w:lang w:val="es-EC"/>
        </w:rPr>
      </w:pPr>
      <w:r>
        <w:rPr>
          <w:lang w:val="es-EC"/>
        </w:rPr>
        <w:pict w14:anchorId="5105505B">
          <v:rect id="_x0000_i1025" style="width:0;height:1.5pt" o:hralign="center" o:hrstd="t" o:hr="t" fillcolor="#a0a0a0" stroked="f"/>
        </w:pict>
      </w:r>
    </w:p>
    <w:p w14:paraId="369CE71A" w14:textId="77777777" w:rsidR="00DC6A76" w:rsidRPr="00DC6A76" w:rsidRDefault="00DC6A76" w:rsidP="00DC6A76">
      <w:pPr>
        <w:rPr>
          <w:b/>
          <w:bCs/>
          <w:lang w:val="es-EC"/>
        </w:rPr>
      </w:pPr>
      <w:r w:rsidRPr="00DC6A76">
        <w:rPr>
          <w:b/>
          <w:bCs/>
          <w:lang w:val="es-EC"/>
        </w:rPr>
        <w:t>2. Fundamentos teóricos aplicados</w:t>
      </w:r>
    </w:p>
    <w:p w14:paraId="09E3557B" w14:textId="77777777" w:rsidR="00DC6A76" w:rsidRDefault="00DC6A76" w:rsidP="00DC6A76">
      <w:pPr>
        <w:rPr>
          <w:lang w:val="es-EC"/>
        </w:rPr>
      </w:pPr>
      <w:r w:rsidRPr="00DC6A76">
        <w:rPr>
          <w:b/>
          <w:bCs/>
          <w:lang w:val="es-EC"/>
        </w:rPr>
        <w:t>Bases teóricas de Data Science</w:t>
      </w:r>
      <w:r w:rsidRPr="00DC6A76">
        <w:rPr>
          <w:lang w:val="es-EC"/>
        </w:rPr>
        <w:t xml:space="preserve"> </w:t>
      </w:r>
    </w:p>
    <w:p w14:paraId="3C5A9980" w14:textId="3FE1D425" w:rsidR="00DC6A76" w:rsidRPr="00DC6A76" w:rsidRDefault="00DC6A76" w:rsidP="00DC6A76">
      <w:pPr>
        <w:rPr>
          <w:lang w:val="es-EC"/>
        </w:rPr>
      </w:pPr>
      <w:r w:rsidRPr="00DC6A76">
        <w:rPr>
          <w:lang w:val="es-EC"/>
        </w:rPr>
        <w:t>La casuística del ti</w:t>
      </w:r>
      <w:r>
        <w:rPr>
          <w:lang w:val="es-EC"/>
        </w:rPr>
        <w:t>cket</w:t>
      </w:r>
      <w:r w:rsidRPr="00DC6A76">
        <w:rPr>
          <w:lang w:val="es-EC"/>
        </w:rPr>
        <w:t xml:space="preserve"> de supermercado se modela como un problema de clasificación multiclase con desequilibrio extremo de clases (</w:t>
      </w:r>
      <w:r w:rsidRPr="00DC6A76">
        <w:rPr>
          <w:i/>
          <w:iCs/>
          <w:lang w:val="es-EC"/>
        </w:rPr>
        <w:t>Imbalanced Data</w:t>
      </w:r>
      <w:r w:rsidRPr="00DC6A76">
        <w:rPr>
          <w:lang w:val="es-EC"/>
        </w:rPr>
        <w:t>), estimando que aproximadamente el 90% de los registros serán productos permitidos. Para evitar que el hiperplano del clasificador se sesgue, el modelo predictivo se cimienta en el Aprendizaje Sensible al Coste (</w:t>
      </w:r>
      <w:r w:rsidRPr="00DC6A76">
        <w:rPr>
          <w:i/>
          <w:iCs/>
          <w:lang w:val="es-EC"/>
        </w:rPr>
        <w:t>Cost-Sensitive Learning</w:t>
      </w:r>
      <w:r w:rsidRPr="00DC6A76">
        <w:rPr>
          <w:lang w:val="es-EC"/>
        </w:rPr>
        <w:t xml:space="preserve">). Se aplican métricas de corrección matemática como la </w:t>
      </w:r>
      <w:r w:rsidRPr="00DC6A76">
        <w:rPr>
          <w:i/>
          <w:iCs/>
          <w:lang w:val="es-EC"/>
        </w:rPr>
        <w:t>Focal Loss</w:t>
      </w:r>
      <w:r w:rsidRPr="00DC6A76">
        <w:rPr>
          <w:lang w:val="es-EC"/>
        </w:rPr>
        <w:t xml:space="preserve">, que penaliza asimétricamente los errores, sobreponderando los falsos positivos en las clases minoritarias pero críticas (ej., alcohol o bollería) e integrando métricas de evaluación centradas en el </w:t>
      </w:r>
      <w:r w:rsidRPr="00DC6A76">
        <w:rPr>
          <w:i/>
          <w:iCs/>
          <w:lang w:val="es-EC"/>
        </w:rPr>
        <w:t>F1-Macro</w:t>
      </w:r>
      <w:r w:rsidRPr="00DC6A76">
        <w:rPr>
          <w:lang w:val="es-EC"/>
        </w:rPr>
        <w:t>.</w:t>
      </w:r>
    </w:p>
    <w:p w14:paraId="18CF8C04" w14:textId="77777777" w:rsidR="00DC6A76" w:rsidRDefault="00DC6A76" w:rsidP="00DC6A76">
      <w:pPr>
        <w:rPr>
          <w:lang w:val="es-EC"/>
        </w:rPr>
      </w:pPr>
      <w:r w:rsidRPr="00DC6A76">
        <w:rPr>
          <w:b/>
          <w:bCs/>
          <w:lang w:val="es-EC"/>
        </w:rPr>
        <w:t>Bases teóricas de Inteligencia Artificial</w:t>
      </w:r>
      <w:r w:rsidRPr="00DC6A76">
        <w:rPr>
          <w:lang w:val="es-EC"/>
        </w:rPr>
        <w:t xml:space="preserve"> </w:t>
      </w:r>
    </w:p>
    <w:p w14:paraId="7ABFA128" w14:textId="3C0EB2E0" w:rsidR="00DC6A76" w:rsidRPr="00DC6A76" w:rsidRDefault="00DC6A76" w:rsidP="00DC6A76">
      <w:pPr>
        <w:rPr>
          <w:lang w:val="es-EC"/>
        </w:rPr>
      </w:pPr>
      <w:r w:rsidRPr="00DC6A76">
        <w:rPr>
          <w:lang w:val="es-EC"/>
        </w:rPr>
        <w:t xml:space="preserve">Desde el Procesamiento de Lenguaje Natural (PLN), la arquitectura del sistema se basa en el ensamblaje o </w:t>
      </w:r>
      <w:r w:rsidRPr="00DC6A76">
        <w:rPr>
          <w:i/>
          <w:iCs/>
          <w:lang w:val="es-EC"/>
        </w:rPr>
        <w:t>Feature Fusion</w:t>
      </w:r>
      <w:r w:rsidRPr="00DC6A76">
        <w:rPr>
          <w:lang w:val="es-EC"/>
        </w:rPr>
        <w:t xml:space="preserve"> (Fusión de Características) multiescalar. Se concatenan vectores dispersos o </w:t>
      </w:r>
      <w:r w:rsidRPr="00DC6A76">
        <w:rPr>
          <w:i/>
          <w:iCs/>
          <w:lang w:val="es-EC"/>
        </w:rPr>
        <w:t>Sparse</w:t>
      </w:r>
      <w:r w:rsidRPr="00DC6A76">
        <w:rPr>
          <w:lang w:val="es-EC"/>
        </w:rPr>
        <w:t xml:space="preserve"> generados por TF-IDF/fastText (que preservan la dimensionalidad técnica y la interpretabilidad) con incrustaciones densas o </w:t>
      </w:r>
      <w:r w:rsidRPr="00DC6A76">
        <w:rPr>
          <w:i/>
          <w:iCs/>
          <w:lang w:val="es-EC"/>
        </w:rPr>
        <w:t>Dense</w:t>
      </w:r>
      <w:r w:rsidRPr="00DC6A76">
        <w:rPr>
          <w:lang w:val="es-EC"/>
        </w:rPr>
        <w:t xml:space="preserve"> generadas por </w:t>
      </w:r>
      <w:r w:rsidRPr="00DC6A76">
        <w:rPr>
          <w:i/>
          <w:iCs/>
          <w:lang w:val="es-EC"/>
        </w:rPr>
        <w:t>Sentence-Transformers</w:t>
      </w:r>
      <w:r w:rsidRPr="00DC6A76">
        <w:rPr>
          <w:lang w:val="es-EC"/>
        </w:rPr>
        <w:t xml:space="preserve"> (ej. paraphrase-multilingual-MiniLM-L12-v2), resolviendo simultáneamente el ruido léxico y la polisemia profunda. El sistema fundamenta su viabilidad en la computación condicional y la destilación del conocimiento, ejecutando modelos grandes solo cuando la representación heurística (Record Linkage difuso) presenta incertidumbre matemátic,.</w:t>
      </w:r>
    </w:p>
    <w:p w14:paraId="15A8D594" w14:textId="77777777" w:rsidR="00DC6A76" w:rsidRDefault="00DC6A76" w:rsidP="00DC6A76">
      <w:pPr>
        <w:rPr>
          <w:lang w:val="es-EC"/>
        </w:rPr>
      </w:pPr>
      <w:r w:rsidRPr="00DC6A76">
        <w:rPr>
          <w:b/>
          <w:bCs/>
          <w:lang w:val="es-EC"/>
        </w:rPr>
        <w:t>Bases teóricas de Negocios Aplicadas</w:t>
      </w:r>
      <w:r w:rsidRPr="00DC6A76">
        <w:rPr>
          <w:lang w:val="es-EC"/>
        </w:rPr>
        <w:t xml:space="preserve"> </w:t>
      </w:r>
    </w:p>
    <w:p w14:paraId="24967DAF" w14:textId="6ECDDE1B" w:rsidR="00DC6A76" w:rsidRPr="00DC6A76" w:rsidRDefault="00DC6A76" w:rsidP="00DC6A76">
      <w:pPr>
        <w:rPr>
          <w:lang w:val="es-EC"/>
        </w:rPr>
      </w:pPr>
      <w:r w:rsidRPr="00DC6A76">
        <w:rPr>
          <w:lang w:val="es-EC"/>
        </w:rPr>
        <w:t xml:space="preserve">El principio rector algorítmico es el estricto cumplimiento normativo (Compliance) basado en el Reglamento (UE) 2021/1057 y el control del Fondo Social Europeo Plus (FSE+). La automatización responde a la teoría de gestión de riesgos públicos: el coste del error de un falso positivo conlleva la descertificación financiera por subvencionar artículos prohibidos. Para salvaguardar el erario, la IA se despliega bajo una metodología de gobernanza </w:t>
      </w:r>
      <w:r w:rsidRPr="00DC6A76">
        <w:rPr>
          <w:i/>
          <w:iCs/>
          <w:lang w:val="es-EC"/>
        </w:rPr>
        <w:t>Human-in-the-Loop</w:t>
      </w:r>
      <w:r w:rsidRPr="00DC6A76">
        <w:rPr>
          <w:lang w:val="es-EC"/>
        </w:rPr>
        <w:t xml:space="preserve"> (HITL) mediante umbrales probabilísticos de confianza matemática (</w:t>
      </w:r>
      <w:r w:rsidRPr="00DC6A76">
        <w:rPr>
          <w:i/>
          <w:iCs/>
          <w:lang w:val="es-EC"/>
        </w:rPr>
        <w:t>Thresholds</w:t>
      </w:r>
      <w:r w:rsidRPr="00DC6A76">
        <w:rPr>
          <w:lang w:val="es-EC"/>
        </w:rPr>
        <w:t xml:space="preserve">): aprobaciones deterministas ante confianza superior a 0.95, revisión humana asistida (bandeja </w:t>
      </w:r>
      <w:r w:rsidRPr="00DC6A76">
        <w:rPr>
          <w:i/>
          <w:iCs/>
          <w:lang w:val="es-EC"/>
        </w:rPr>
        <w:lastRenderedPageBreak/>
        <w:t>REVISAR</w:t>
      </w:r>
      <w:r w:rsidRPr="00DC6A76">
        <w:rPr>
          <w:lang w:val="es-EC"/>
        </w:rPr>
        <w:t xml:space="preserve">) ante incerteza (0.75-0.95), y rechazo obligatorio por debajo de 0.75. Finalmente, el diseño de la arquitectura garantiza la Soberanía del Dato, priorizando modelos </w:t>
      </w:r>
      <w:r w:rsidRPr="00DC6A76">
        <w:rPr>
          <w:i/>
          <w:iCs/>
          <w:lang w:val="es-EC"/>
        </w:rPr>
        <w:t>Small Language Models</w:t>
      </w:r>
      <w:r w:rsidRPr="00DC6A76">
        <w:rPr>
          <w:lang w:val="es-EC"/>
        </w:rPr>
        <w:t xml:space="preserve"> (SLMs) ejecutables en infraestructuras </w:t>
      </w:r>
      <w:r w:rsidRPr="00DC6A76">
        <w:rPr>
          <w:i/>
          <w:iCs/>
          <w:lang w:val="es-EC"/>
        </w:rPr>
        <w:t>on-premise</w:t>
      </w:r>
      <w:r w:rsidRPr="00DC6A76">
        <w:rPr>
          <w:lang w:val="es-EC"/>
        </w:rPr>
        <w:t xml:space="preserve"> o locales (Colab/Python) en conformidad con el Esquema Nacional de Seguridad (ENS) español, evitando externalizar datos de familias vulnerables hacia ecosistemas de terceros.</w:t>
      </w:r>
    </w:p>
    <w:p w14:paraId="3C6069AF" w14:textId="09164E89" w:rsidR="00DC6A76" w:rsidRPr="00DC6A76" w:rsidRDefault="00DC6A76" w:rsidP="00DC6A76">
      <w:pPr>
        <w:rPr>
          <w:lang w:val="es-EC"/>
        </w:rPr>
      </w:pPr>
    </w:p>
    <w:p w14:paraId="59C32083" w14:textId="77777777" w:rsidR="00DC6A76" w:rsidRPr="00DC6A76" w:rsidRDefault="00DC6A76" w:rsidP="00DC6A76">
      <w:pPr>
        <w:rPr>
          <w:b/>
          <w:bCs/>
          <w:lang w:val="es-EC"/>
        </w:rPr>
      </w:pPr>
      <w:r w:rsidRPr="00DC6A76">
        <w:rPr>
          <w:b/>
          <w:bCs/>
          <w:lang w:val="es-EC"/>
        </w:rPr>
        <w:t>Referencias</w:t>
      </w:r>
    </w:p>
    <w:p w14:paraId="301A26FB" w14:textId="77777777" w:rsidR="00DC6A76" w:rsidRPr="00DC6A76" w:rsidRDefault="00DC6A76" w:rsidP="00DC6A76">
      <w:pPr>
        <w:numPr>
          <w:ilvl w:val="0"/>
          <w:numId w:val="2"/>
        </w:numPr>
        <w:rPr>
          <w:lang w:val="es-EC"/>
        </w:rPr>
      </w:pPr>
      <w:r w:rsidRPr="00DC6A76">
        <w:rPr>
          <w:lang w:val="en-US"/>
        </w:rPr>
        <w:t xml:space="preserve">Anggoro, A. (2026). </w:t>
      </w:r>
      <w:r w:rsidRPr="00DC6A76">
        <w:rPr>
          <w:i/>
          <w:iCs/>
          <w:lang w:val="en-US"/>
        </w:rPr>
        <w:t>Representation Learning and Deep Neural Approaches for Classification in Assymetric Texts</w:t>
      </w:r>
      <w:r w:rsidRPr="00DC6A76">
        <w:rPr>
          <w:lang w:val="en-US"/>
        </w:rPr>
        <w:t xml:space="preserve"> [Tesis doctoral, Cardiff University]. </w:t>
      </w:r>
      <w:r w:rsidRPr="00DC6A76">
        <w:rPr>
          <w:lang w:val="es-EC"/>
        </w:rPr>
        <w:t>Repositorio Institucional ORCA.</w:t>
      </w:r>
    </w:p>
    <w:p w14:paraId="765634FC" w14:textId="77777777" w:rsidR="00DC6A76" w:rsidRPr="00DC6A76" w:rsidRDefault="00DC6A76" w:rsidP="00DC6A76">
      <w:pPr>
        <w:numPr>
          <w:ilvl w:val="0"/>
          <w:numId w:val="2"/>
        </w:numPr>
        <w:rPr>
          <w:lang w:val="es-EC"/>
        </w:rPr>
      </w:pPr>
      <w:r w:rsidRPr="00DC6A76">
        <w:rPr>
          <w:lang w:val="en-US"/>
        </w:rPr>
        <w:t xml:space="preserve">Bai, X. (2011). </w:t>
      </w:r>
      <w:r w:rsidRPr="00DC6A76">
        <w:rPr>
          <w:i/>
          <w:iCs/>
          <w:lang w:val="en-US"/>
        </w:rPr>
        <w:t>Text Classification: How Machine Learning Is Revolutionizing Text Categorization</w:t>
      </w:r>
      <w:r w:rsidRPr="00DC6A76">
        <w:rPr>
          <w:lang w:val="en-US"/>
        </w:rPr>
        <w:t xml:space="preserve">. </w:t>
      </w:r>
      <w:r w:rsidRPr="00DC6A76">
        <w:rPr>
          <w:lang w:val="es-EC"/>
        </w:rPr>
        <w:t>MDPI Information.</w:t>
      </w:r>
    </w:p>
    <w:p w14:paraId="643BA486" w14:textId="77777777" w:rsidR="00DC6A76" w:rsidRPr="00DC6A76" w:rsidRDefault="00DC6A76" w:rsidP="00DC6A76">
      <w:pPr>
        <w:numPr>
          <w:ilvl w:val="0"/>
          <w:numId w:val="2"/>
        </w:numPr>
        <w:rPr>
          <w:lang w:val="es-EC"/>
        </w:rPr>
      </w:pPr>
      <w:r w:rsidRPr="00DC6A76">
        <w:rPr>
          <w:lang w:val="fr-FR"/>
        </w:rPr>
        <w:t xml:space="preserve">Bojanowski, P., Grave, E., Joulin, A., &amp; Mikolov, T. (2017). </w:t>
      </w:r>
      <w:r w:rsidRPr="00DC6A76">
        <w:rPr>
          <w:lang w:val="en-US"/>
        </w:rPr>
        <w:t xml:space="preserve">Enriching Word Vectors with Subword Information. </w:t>
      </w:r>
      <w:r w:rsidRPr="00DC6A76">
        <w:rPr>
          <w:i/>
          <w:iCs/>
          <w:lang w:val="es-EC"/>
        </w:rPr>
        <w:t>Transactions of the Association for Computational Linguistics</w:t>
      </w:r>
      <w:r w:rsidRPr="00DC6A76">
        <w:rPr>
          <w:lang w:val="es-EC"/>
        </w:rPr>
        <w:t>, 5, 135-146.</w:t>
      </w:r>
    </w:p>
    <w:p w14:paraId="5F23A7FB" w14:textId="77777777" w:rsidR="00DC6A76" w:rsidRPr="00DC6A76" w:rsidRDefault="00DC6A76" w:rsidP="00DC6A76">
      <w:pPr>
        <w:numPr>
          <w:ilvl w:val="0"/>
          <w:numId w:val="2"/>
        </w:numPr>
        <w:rPr>
          <w:lang w:val="es-EC"/>
        </w:rPr>
      </w:pPr>
      <w:r w:rsidRPr="00DC6A76">
        <w:rPr>
          <w:lang w:val="fr-FR"/>
        </w:rPr>
        <w:t xml:space="preserve">Li, Y., Li, J., Suhara, Y., Doan, A., &amp; Wang, W. (2020). </w:t>
      </w:r>
      <w:r w:rsidRPr="00DC6A76">
        <w:rPr>
          <w:lang w:val="en-US"/>
        </w:rPr>
        <w:t xml:space="preserve">Deep Entity Matching with Pre-Trained Language Models. </w:t>
      </w:r>
      <w:r w:rsidRPr="00DC6A76">
        <w:rPr>
          <w:i/>
          <w:iCs/>
          <w:lang w:val="es-EC"/>
        </w:rPr>
        <w:t>Proceedings of the VLDB Endowment</w:t>
      </w:r>
      <w:r w:rsidRPr="00DC6A76">
        <w:rPr>
          <w:lang w:val="es-EC"/>
        </w:rPr>
        <w:t>, 14(1), 50-60.</w:t>
      </w:r>
    </w:p>
    <w:p w14:paraId="75F03953" w14:textId="77777777" w:rsidR="00DC6A76" w:rsidRPr="00DC6A76" w:rsidRDefault="00DC6A76" w:rsidP="00DC6A76">
      <w:pPr>
        <w:numPr>
          <w:ilvl w:val="0"/>
          <w:numId w:val="2"/>
        </w:numPr>
        <w:rPr>
          <w:lang w:val="es-EC"/>
        </w:rPr>
      </w:pPr>
      <w:r w:rsidRPr="00DC6A76">
        <w:rPr>
          <w:lang w:val="fr-FR"/>
        </w:rPr>
        <w:t xml:space="preserve">Mudgal, S., Li, H., Theodorakis, T., Das, S., Vu, A., Leiserson, K., ... </w:t>
      </w:r>
      <w:r w:rsidRPr="00DC6A76">
        <w:rPr>
          <w:lang w:val="en-US"/>
        </w:rPr>
        <w:t xml:space="preserve">&amp; Ré, C. (2018). Deep Learning for Entity Matching: A Design Space Exploration. </w:t>
      </w:r>
      <w:r w:rsidRPr="00DC6A76">
        <w:rPr>
          <w:i/>
          <w:iCs/>
          <w:lang w:val="es-EC"/>
        </w:rPr>
        <w:t>Proceedings of the 2018 International Conference on Management of Data</w:t>
      </w:r>
      <w:r w:rsidRPr="00DC6A76">
        <w:rPr>
          <w:lang w:val="es-EC"/>
        </w:rPr>
        <w:t>, 19-34.</w:t>
      </w:r>
    </w:p>
    <w:p w14:paraId="1BD409A2" w14:textId="77777777" w:rsidR="00DC6A76" w:rsidRPr="00DC6A76" w:rsidRDefault="00DC6A76" w:rsidP="00DC6A76">
      <w:pPr>
        <w:numPr>
          <w:ilvl w:val="0"/>
          <w:numId w:val="2"/>
        </w:numPr>
        <w:rPr>
          <w:lang w:val="es-EC"/>
        </w:rPr>
      </w:pPr>
      <w:r w:rsidRPr="00DC6A76">
        <w:rPr>
          <w:lang w:val="es-EC"/>
        </w:rPr>
        <w:t xml:space="preserve">Parlamento Europeo y Consejo de la Unión Europea. (2021). </w:t>
      </w:r>
      <w:r w:rsidRPr="00DC6A76">
        <w:rPr>
          <w:i/>
          <w:iCs/>
          <w:lang w:val="es-EC"/>
        </w:rPr>
        <w:t>Reglamento (UE) 2021/1057 por el que se establece el Fondo Social Europeo Plus (FSE+)</w:t>
      </w:r>
      <w:r w:rsidRPr="00DC6A76">
        <w:rPr>
          <w:lang w:val="es-EC"/>
        </w:rPr>
        <w:t>. Diario Oficial de la Unión Europea.</w:t>
      </w:r>
    </w:p>
    <w:p w14:paraId="308255A8" w14:textId="77777777" w:rsidR="00DC6A76" w:rsidRPr="00DC6A76" w:rsidRDefault="00DC6A76" w:rsidP="00DC6A76">
      <w:pPr>
        <w:numPr>
          <w:ilvl w:val="0"/>
          <w:numId w:val="2"/>
        </w:numPr>
        <w:rPr>
          <w:lang w:val="es-EC"/>
        </w:rPr>
      </w:pPr>
      <w:r w:rsidRPr="00DC6A76">
        <w:rPr>
          <w:lang w:val="es-EC"/>
        </w:rPr>
        <w:t xml:space="preserve">Santos Kieckbusch, D. (2022). </w:t>
      </w:r>
      <w:r w:rsidRPr="00DC6A76">
        <w:rPr>
          <w:i/>
          <w:iCs/>
          <w:lang w:val="es-EC"/>
        </w:rPr>
        <w:t>SCAN-NF: a Machine Learning System for Invoice Product Transaction Classification</w:t>
      </w:r>
      <w:r w:rsidRPr="00DC6A76">
        <w:rPr>
          <w:lang w:val="es-EC"/>
        </w:rPr>
        <w:t xml:space="preserve"> [Disertación de Maestría, Universidade de Brasília]. Repositorio Institucional UNB.</w:t>
      </w:r>
    </w:p>
    <w:p w14:paraId="2DA7EB2E" w14:textId="77777777" w:rsidR="00DC6A76" w:rsidRDefault="00DC6A76" w:rsidP="00CD7A84"/>
    <w:p w14:paraId="400E519C" w14:textId="1F348269" w:rsidR="00A2786D" w:rsidRDefault="00A2786D" w:rsidP="00CD7A84">
      <w:r w:rsidRPr="00A2786D">
        <w:t>kalva@ucm.es</w:t>
      </w:r>
    </w:p>
    <w:sectPr w:rsidR="00A278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067012"/>
    <w:multiLevelType w:val="multilevel"/>
    <w:tmpl w:val="420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BF620D"/>
    <w:multiLevelType w:val="hybridMultilevel"/>
    <w:tmpl w:val="1E2E3A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54156962">
    <w:abstractNumId w:val="1"/>
  </w:num>
  <w:num w:numId="2" w16cid:durableId="1132206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69"/>
    <w:rsid w:val="003A1F71"/>
    <w:rsid w:val="00477B6F"/>
    <w:rsid w:val="00603487"/>
    <w:rsid w:val="006D0069"/>
    <w:rsid w:val="00722687"/>
    <w:rsid w:val="00784E73"/>
    <w:rsid w:val="00A131EB"/>
    <w:rsid w:val="00A2786D"/>
    <w:rsid w:val="00B05E5C"/>
    <w:rsid w:val="00CA1699"/>
    <w:rsid w:val="00CD7A84"/>
    <w:rsid w:val="00DC6A76"/>
    <w:rsid w:val="00EE2D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AE14"/>
  <w15:chartTrackingRefBased/>
  <w15:docId w15:val="{C9F52AAE-FFD4-41BA-976B-4F57EC798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0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0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00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00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00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00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00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00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00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00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00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00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00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00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00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00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00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0069"/>
    <w:rPr>
      <w:rFonts w:eastAsiaTheme="majorEastAsia" w:cstheme="majorBidi"/>
      <w:color w:val="272727" w:themeColor="text1" w:themeTint="D8"/>
    </w:rPr>
  </w:style>
  <w:style w:type="paragraph" w:styleId="Ttulo">
    <w:name w:val="Title"/>
    <w:basedOn w:val="Normal"/>
    <w:next w:val="Normal"/>
    <w:link w:val="TtuloCar"/>
    <w:uiPriority w:val="10"/>
    <w:qFormat/>
    <w:rsid w:val="006D0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00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00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00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0069"/>
    <w:pPr>
      <w:spacing w:before="160"/>
      <w:jc w:val="center"/>
    </w:pPr>
    <w:rPr>
      <w:i/>
      <w:iCs/>
      <w:color w:val="404040" w:themeColor="text1" w:themeTint="BF"/>
    </w:rPr>
  </w:style>
  <w:style w:type="character" w:customStyle="1" w:styleId="CitaCar">
    <w:name w:val="Cita Car"/>
    <w:basedOn w:val="Fuentedeprrafopredeter"/>
    <w:link w:val="Cita"/>
    <w:uiPriority w:val="29"/>
    <w:rsid w:val="006D0069"/>
    <w:rPr>
      <w:i/>
      <w:iCs/>
      <w:color w:val="404040" w:themeColor="text1" w:themeTint="BF"/>
    </w:rPr>
  </w:style>
  <w:style w:type="paragraph" w:styleId="Prrafodelista">
    <w:name w:val="List Paragraph"/>
    <w:basedOn w:val="Normal"/>
    <w:uiPriority w:val="34"/>
    <w:qFormat/>
    <w:rsid w:val="006D0069"/>
    <w:pPr>
      <w:ind w:left="720"/>
      <w:contextualSpacing/>
    </w:pPr>
  </w:style>
  <w:style w:type="character" w:styleId="nfasisintenso">
    <w:name w:val="Intense Emphasis"/>
    <w:basedOn w:val="Fuentedeprrafopredeter"/>
    <w:uiPriority w:val="21"/>
    <w:qFormat/>
    <w:rsid w:val="006D0069"/>
    <w:rPr>
      <w:i/>
      <w:iCs/>
      <w:color w:val="0F4761" w:themeColor="accent1" w:themeShade="BF"/>
    </w:rPr>
  </w:style>
  <w:style w:type="paragraph" w:styleId="Citadestacada">
    <w:name w:val="Intense Quote"/>
    <w:basedOn w:val="Normal"/>
    <w:next w:val="Normal"/>
    <w:link w:val="CitadestacadaCar"/>
    <w:uiPriority w:val="30"/>
    <w:qFormat/>
    <w:rsid w:val="006D0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0069"/>
    <w:rPr>
      <w:i/>
      <w:iCs/>
      <w:color w:val="0F4761" w:themeColor="accent1" w:themeShade="BF"/>
    </w:rPr>
  </w:style>
  <w:style w:type="character" w:styleId="Referenciaintensa">
    <w:name w:val="Intense Reference"/>
    <w:basedOn w:val="Fuentedeprrafopredeter"/>
    <w:uiPriority w:val="32"/>
    <w:qFormat/>
    <w:rsid w:val="006D0069"/>
    <w:rPr>
      <w:b/>
      <w:bCs/>
      <w:smallCaps/>
      <w:color w:val="0F4761" w:themeColor="accent1" w:themeShade="BF"/>
      <w:spacing w:val="5"/>
    </w:rPr>
  </w:style>
  <w:style w:type="character" w:styleId="Hipervnculo">
    <w:name w:val="Hyperlink"/>
    <w:basedOn w:val="Fuentedeprrafopredeter"/>
    <w:uiPriority w:val="99"/>
    <w:unhideWhenUsed/>
    <w:rsid w:val="006D0069"/>
    <w:rPr>
      <w:color w:val="467886" w:themeColor="hyperlink"/>
      <w:u w:val="single"/>
    </w:rPr>
  </w:style>
  <w:style w:type="character" w:styleId="Mencinsinresolver">
    <w:name w:val="Unresolved Mention"/>
    <w:basedOn w:val="Fuentedeprrafopredeter"/>
    <w:uiPriority w:val="99"/>
    <w:semiHidden/>
    <w:unhideWhenUsed/>
    <w:rsid w:val="006D00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832354">
      <w:bodyDiv w:val="1"/>
      <w:marLeft w:val="0"/>
      <w:marRight w:val="0"/>
      <w:marTop w:val="0"/>
      <w:marBottom w:val="0"/>
      <w:divBdr>
        <w:top w:val="none" w:sz="0" w:space="0" w:color="auto"/>
        <w:left w:val="none" w:sz="0" w:space="0" w:color="auto"/>
        <w:bottom w:val="none" w:sz="0" w:space="0" w:color="auto"/>
        <w:right w:val="none" w:sz="0" w:space="0" w:color="auto"/>
      </w:divBdr>
      <w:divsChild>
        <w:div w:id="547691412">
          <w:marLeft w:val="0"/>
          <w:marRight w:val="0"/>
          <w:marTop w:val="0"/>
          <w:marBottom w:val="0"/>
          <w:divBdr>
            <w:top w:val="none" w:sz="0" w:space="0" w:color="auto"/>
            <w:left w:val="none" w:sz="0" w:space="0" w:color="auto"/>
            <w:bottom w:val="none" w:sz="0" w:space="0" w:color="auto"/>
            <w:right w:val="none" w:sz="0" w:space="0" w:color="auto"/>
          </w:divBdr>
        </w:div>
      </w:divsChild>
    </w:div>
    <w:div w:id="244268617">
      <w:bodyDiv w:val="1"/>
      <w:marLeft w:val="0"/>
      <w:marRight w:val="0"/>
      <w:marTop w:val="0"/>
      <w:marBottom w:val="0"/>
      <w:divBdr>
        <w:top w:val="none" w:sz="0" w:space="0" w:color="auto"/>
        <w:left w:val="none" w:sz="0" w:space="0" w:color="auto"/>
        <w:bottom w:val="none" w:sz="0" w:space="0" w:color="auto"/>
        <w:right w:val="none" w:sz="0" w:space="0" w:color="auto"/>
      </w:divBdr>
    </w:div>
    <w:div w:id="354768178">
      <w:bodyDiv w:val="1"/>
      <w:marLeft w:val="0"/>
      <w:marRight w:val="0"/>
      <w:marTop w:val="0"/>
      <w:marBottom w:val="0"/>
      <w:divBdr>
        <w:top w:val="none" w:sz="0" w:space="0" w:color="auto"/>
        <w:left w:val="none" w:sz="0" w:space="0" w:color="auto"/>
        <w:bottom w:val="none" w:sz="0" w:space="0" w:color="auto"/>
        <w:right w:val="none" w:sz="0" w:space="0" w:color="auto"/>
      </w:divBdr>
    </w:div>
    <w:div w:id="1833134478">
      <w:bodyDiv w:val="1"/>
      <w:marLeft w:val="0"/>
      <w:marRight w:val="0"/>
      <w:marTop w:val="0"/>
      <w:marBottom w:val="0"/>
      <w:divBdr>
        <w:top w:val="none" w:sz="0" w:space="0" w:color="auto"/>
        <w:left w:val="none" w:sz="0" w:space="0" w:color="auto"/>
        <w:bottom w:val="none" w:sz="0" w:space="0" w:color="auto"/>
        <w:right w:val="none" w:sz="0" w:space="0" w:color="auto"/>
      </w:divBdr>
      <w:divsChild>
        <w:div w:id="18648547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TotalTime>
  <Pages>5</Pages>
  <Words>1961</Words>
  <Characters>10790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30000- PEV Jostin Javier Herrera Pine</dc:creator>
  <cp:keywords/>
  <dc:description/>
  <cp:lastModifiedBy>Jostin Herrera</cp:lastModifiedBy>
  <cp:revision>4</cp:revision>
  <dcterms:created xsi:type="dcterms:W3CDTF">2026-04-22T10:08:00Z</dcterms:created>
  <dcterms:modified xsi:type="dcterms:W3CDTF">2026-04-22T17:32:00Z</dcterms:modified>
</cp:coreProperties>
</file>