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Inteligencia Artificial aplicada a la Validación de Gasto en el Programa FSE+: Investigación Multidimensional para la Clasificación de Artículos del Fichero 03</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Resumen ejecutivo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presente investigación constituye un análisis exhaustivo y crítico orientado a fundamentar el desarrollo de un Trabajo Fin de Máster (TFM) en el ámbito de la Inteligencia Artificial aplicada a la gestión de fondos públicos. El núcleo del estudio se centra en la clasificación automatizada de líneas de artículo dentro del denominado Fichero 03, una pieza documental crítica para la justificación financiera del Programa Básico CARM-FSE+ de la Región de Murcia.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problemática abordada reside en la heterogeneidad y el ruido inherente a las descripciones de productos en los tickets de compra, los cuales presentan truncamientos, abreviaturas no estandarizadas y errores ortográficos que dificultan la auditoría manual y el cumplimiento normativo.</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través de una revisión sistemática de literatura académica y soluciones de mercado, se han evaluado tres arquitecturas candidatas: un sistema híbrido basado en reglas y clasificadores lineales (Sistema 1), un enfoque de clasificación eficiente mediante subpalabras con fastText (Sistema 2) y un modelo de similitud semántica basado en Sentence-Transformers y modelos ligeros como MiniLM (Sistema 3).</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La evidencia recopilada indica que, para un entorno restrictivo como Google Colab gratuito, el Sistema 1 ofrece la mejor relación entre interpretabilidad, bajo consumo de recursos y precisión en la detección de palabras clave críticas para la subvencionabilidad, como el alcohol o la bollería industrial.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No obstante, el estudio identifica un hueco de investigación significativo en la asimetría entre las descripciones del comercio y las taxonomías oficiales, proponiendo un modelo de "humano en el bucle" (human-in-the-loop) que utiliza umbrales de confianza para gestionar la incertidumbre.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recomendación final se orienta hacia la implementación de un sistema en cascada que prioriza reglas deterministas (EAN y diccionarios maestros) antes de aplicar un clasificador lineal robusto (SVM). Este enfoque permite una trazabilidad total de las decisiones, factor indispensable para la defensa ante tribunales académicos y la validación por parte de organismos auditores.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El reporte concluye que la viabilidad técnica en hardware de consumo es alta, siempre que se aplique un preprocesamiento riguroso y una estrategia de normalización de datos alineada con las bases reguladoras del programa.</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6">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Metodología de búsqueda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construcción de este estado del arte se ha regido por un protocolo de investigación sistemática diseñado para maximizar la relevancia de los hallazgos en relación con el dominio del Fichero 03 y las restricciones de hardware impuestas. Se han consultado repositorios institucionales de referencia, incluyendo el portal de la Comunidad Autónoma de la Región de Murcia (CARM) para el marco regulatorio, y bases de datos científicas de primer nivel como IEEE Xplore, ACM Digital Library, SpringerLink y el repositorio de preprints arXiv.</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estrategia de búsqueda empleó una combinación de operadores booleanos y términos de expansión temática. Las palabras clave principales incluyeron "entity resolution", "product matching", "short-text classification", "invoice line item classification" y "fuzzy matching", combinadas con tecnologías específicas como "TF-IDF", "SVM", "fastText", "SBERT" y "MiniLM".</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El proceso de filtrado aplicó criterios de inclusión estrictos: trabajos publicados preferentemente en los últimos cinco años, estudios que utilicen datasets de retail o facturación real, y tesis de maestría o doctorado que detallen implementaciones en Python.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Se excluyeron aquellas fuentes de carácter meramente comercial o blogs técnicos sin respaldo metodológico verificable, priorizando siempre la evidencia empírica sobre las afirmaciones de marketing.</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 ha prestado especial atención a la detección de sesgos idiomáticos, buscando activamente trabajos realizados en el ámbito hispanohablante y brasileño (debido a su avanzada legislación en factura electrónica) para asegurar la transferibilidad de los métodos al contexto español.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La limitación de hardware se abordó mediante la búsqueda de estudios que comparen específicamente el rendimiento de modelos en CPU frente a GPU, identificando configuraciones optimizadas para entornos de nube gratuita.</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0A">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Estado del arte académico</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Sistema 1: reglas + TF-IDF + clasificador lineal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literatura académica sitúa a la combinación de TF-IDF (Term Frequency-Inverse Document Frequency) y clasificadores lineales como el estándar de referencia para la auditoría de documentos financieros debido a su robustez y transparencia.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El estudio SCAN-NF, desarrollado en la Universidad de Brasilia, demuestra que los modelos de Support Vector Machines (SVM) entrenados con representaciones TF-IDF alcanzan precisiones superiores al 98% en la clasificación de productos de facturas electrónicas (NF-e) para la asignación de códigos de nomenclatura Mercosur (NCM).</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enfoque es particularmente eficaz porque las descripciones de los artículos en el Fichero 03 funcionan como una "bolsa de palabras" donde la posición gramatical es menos relevante que la presencia de términos clave.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La investigación de Medius sobre flujos de facturas confirma que la Regresión Logística combinada con TF-IDF supera en eficiencia a modelos neuronales como Doc2Vec cuando el objetivo es la clasificación rápida y con alta interpretabilidad.</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Para el TFM, esto implica que se puede justificar el uso de un modelo lineal no solo por limitaciones de hardware, sino por su rendimiento empírico superior en dominios de texto corto y técnico.</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Sistema 2: fastText y enfoques subword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Sistema 2 aborda la problemática de las palabras fuera de vocabulario (OOV) y los errores tipográficos mediante el uso de n-gramas de caracteres incrustados en vectores densos.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El uso de fastText en la clasificación de productos de consumo masivo (FMCG) ha demostrado una capacidad resiliente para manejar descripciones truncadas, superando a modelos como Word2Vec en métricas de exhaustividad (recall).</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 estudio sobre la detección de conspiraciones en tweets cortos resalta que fastText logra precisiones del 89% con un tiempo de entrenamiento significativamente menor que las redes neuronales profundas, lo que lo hace ideal para el ciclo de experimentación en Google Colab.</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La arquitectura de fastText permite promediar los embeddings de subpalabras, lo que resulta en una representación vectorial que preserva la semántica incluso cuando el término original presenta variaciones como "LCHE" en lugar de "LECHE".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Esta característica es vital para el Fichero 03, donde cada comercio puede abreviar el mismo producto de formas distintas.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Sistema 3: Sentence-Transformers / MiniLM / SBERT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evolución hacia modelos de lenguaje pre-entrenados (PLM) ha revolucionado la resolución de entidades (Entity Matching).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Modelos como Sentence-BERT (SBERT) y sus versiones destiladas como MiniLM han mostrado una capacidad superior para capturar la similitud semántica en textos asimétricos, donde una descripción corta debe emparejarse con una categoría taxonómica más larga.</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investigación en el benchmark ER-Magellan indica que, si bien los modelos basados en Transformers como Ditto logran puntuaciones F1 líderes en el estado del arte (superando el 90%), requieren estrategias de inyección de conocimiento de dominio y aumento de datos para ser efectivos en escenarios con pocas muestras etiquetadas.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En el contexto del TFM, el uso de paraphrase-multilingual-MiniLM-L12-v2 se posiciona como una alternativa semántica ligera que puede ejecutarse en la CPU de Colab para tareas de inferencia, aunque su entrenamiento sigue siendo costoso en comparación con los sistemas 1 y 2.</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Entity Resolution / Product Matching / Product Deduplication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resolución de entidades en el ámbito del retail se define como el proceso de identificar registros que se refieren al mismo producto físico a pesar de tener descripciones heterogéneas.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El estudio de la Universidad de Alberta sobre los modelos TATEM y TATTOO subraya la importancia de integrar datos tabulares (como FAMILIA o GRUPO) junto con el texto descriptivo, una técnica que mejora la precisión al proporcionar un contexto jerárquico al modelo de clasificación.</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bloqueo (blocking) es una fase crítica en estos sistemas para reducir la complejidad computacional. Investigaciones sugieren que el uso de SBERT para generar embeddings que permitan una búsqueda de vecinos más cercanos (k-NN) puede acelerar el pipeline de matching hasta 3.8 veces frente a métodos de bloqueo ingenuos.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Para el Fichero 03, esto se traduce en la posibilidad de filtrar candidatos basándose en el código EAN o la jerarquía de categorías antes de aplicar modelos de clasificación más pesados.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Invoice line item classification / matching</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clasificación de líneas de factura es una subdisciplina del procesamiento de documentos que combina la extracción de información (IE) con la clasificación de texto.</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Un estudio sobre facturas de electricidad resalta que SVM y Random Forest son los algoritmos más consistentes para capturar valores clave con precisiones medias del 91.86%.</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el ámbito de la gestión de gastos, investigaciones recientes han evaluado el uso de características híbridas (sparse + dense), combinando TF-IDF con SBERT. Este enfoque híbrido logra mejoras de hasta el 3% en la detección de semántica compleja sin incurrir en los costes de un ajuste fino completo del modelo Transformer.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Este hallazgo es fundamental para la justificación metodológica del TFM, sugiriendo que la integración de ambos mundos ofrece la mayor robustez operativa.</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 Fuzzy matching, record linkage y herramientas Python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ecosistema de Python ofrece librerías maduras para el tratamiento de la ambigüedad textual. RapidFuzz se identifica como la opción superior para entornos de producción debido a su implementación en C++, ofreciendo una compatibilidad total con la API de TheFuzz (antiguo FuzzyWuzzy) pero con un rendimiento significativamente mayor en datasets de millones de registros.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PolyFuzz destaca por su capacidad de combinar múltiples algoritmos (Levenshtein, Jaccard, TF-IDF y embeddings) en un solo pipeline de matching, permitiendo comparar visualmente el rendimiento de cada técnica.</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La evidencia sugiere que establecer umbrales de confianza (thresholds) elevados (0.90-0.95) es esencial en dominios financieros para evitar falsos positivos que podrían derivar en abonos indebidos de fondos públicos.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3.7 TFMs, tesis y trabajos universitarios especialmente relevantes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Varios trabajos académicos proporcionan un plano técnico directamente aplicable:</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SCAN-NF (Tesis de la Universidad de Brasilia):</w:t>
      </w:r>
      <w:r w:rsidDel="00000000" w:rsidR="00000000" w:rsidRPr="00000000">
        <w:rPr>
          <w:rFonts w:ascii="Google Sans" w:cs="Google Sans" w:eastAsia="Google Sans" w:hAnsi="Google Sans"/>
          <w:color w:val="1f1f1f"/>
          <w:rtl w:val="0"/>
        </w:rPr>
        <w:t xml:space="preserve"> Proporciona la justificación para el uso de SVM en la clasificación de productos de facturas, destacando que los modelos de frecuencia de términos a menudo superan a las CNN en este dominio específico.</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Tesis de la Universidad de Twente:</w:t>
      </w:r>
      <w:r w:rsidDel="00000000" w:rsidR="00000000" w:rsidRPr="00000000">
        <w:rPr>
          <w:rFonts w:ascii="Google Sans" w:cs="Google Sans" w:eastAsia="Google Sans" w:hAnsi="Google Sans"/>
          <w:color w:val="1f1f1f"/>
          <w:rtl w:val="0"/>
        </w:rPr>
        <w:t xml:space="preserve"> Propone un enfoque de tres pasos para el matching de productos de moda (un dominio altamente ruidoso), utilizando filtros iniciales de marca y categoría para reducir el espacio de búsqueda en un 94%.</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Investigación en MediaEval:</w:t>
      </w:r>
      <w:r w:rsidDel="00000000" w:rsidR="00000000" w:rsidRPr="00000000">
        <w:rPr>
          <w:rFonts w:ascii="Google Sans" w:cs="Google Sans" w:eastAsia="Google Sans" w:hAnsi="Google Sans"/>
          <w:color w:val="1f1f1f"/>
          <w:rtl w:val="0"/>
        </w:rPr>
        <w:t xml:space="preserve"> Evalúa fastText para textos cortos, concluyendo que es el mejor clasificador cuando se dispone de recursos limitados, logrando precisiones comparables a modelos de aprendizaje profundo con una fracción del tiempo de cómputo.</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2">
      <w:pPr>
        <w:pStyle w:val="Heading1"/>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Soluciones existentes en el mercado</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industria de Intelligent Document Processing (IDP) ha avanzado hacia modelos pre-entrenados que minimizan la necesidad de configuración manual, aunque con variaciones significativas en su precisión para la extracción de líneas de detalle.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Solución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Capacidades de Extracción de Líneas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Comparabilidad con el TFM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Fortalezas y Debilidades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Microsoft Azure AI Document Intelligence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Modelo especializado en facturas con alta precisión en tablas y descripciones multilínea (93% field accuracy). </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Alta. Su estructura de salida semántica puede inspirar el diseño del Sistema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Pros:</w:t>
            </w:r>
            <w:r w:rsidDel="00000000" w:rsidR="00000000" w:rsidRPr="00000000">
              <w:rPr>
                <w:rFonts w:ascii="Google Sans" w:cs="Google Sans" w:eastAsia="Google Sans" w:hAnsi="Google Sans"/>
                <w:color w:val="1f1f1f"/>
                <w:shd w:fill="auto" w:val="clear"/>
                <w:rtl w:val="0"/>
              </w:rPr>
              <w:t xml:space="preserve"> Excelente manejo de layouts complejos. </w:t>
            </w:r>
            <w:r w:rsidDel="00000000" w:rsidR="00000000" w:rsidRPr="00000000">
              <w:rPr>
                <w:rFonts w:ascii="Google Sans" w:cs="Google Sans" w:eastAsia="Google Sans" w:hAnsi="Google Sans"/>
                <w:b w:val="1"/>
                <w:bCs w:val="1"/>
                <w:color w:val="1f1f1f"/>
                <w:shd w:fill="auto" w:val="clear"/>
                <w:rtl w:val="0"/>
              </w:rPr>
              <w:t xml:space="preserve">Contras:</w:t>
            </w:r>
            <w:r w:rsidDel="00000000" w:rsidR="00000000" w:rsidRPr="00000000">
              <w:rPr>
                <w:rFonts w:ascii="Google Sans" w:cs="Google Sans" w:eastAsia="Google Sans" w:hAnsi="Google Sans"/>
                <w:color w:val="1f1f1f"/>
                <w:shd w:fill="auto" w:val="clear"/>
                <w:rtl w:val="0"/>
              </w:rPr>
              <w:t xml:space="preserve"> Fallos reportados en la detección de nombres completos en ciertos campos.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AWS Textract (AnalyzeExpense)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API optimizada para facturas y recibos con integración profunda en el ecosistema AWS.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Media. Se centra más en la extracción que en la clasificación semántica posterior.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Pros:</w:t>
            </w:r>
            <w:r w:rsidDel="00000000" w:rsidR="00000000" w:rsidRPr="00000000">
              <w:rPr>
                <w:rFonts w:ascii="Google Sans" w:cs="Google Sans" w:eastAsia="Google Sans" w:hAnsi="Google Sans"/>
                <w:color w:val="1f1f1f"/>
                <w:shd w:fill="auto" w:val="clear"/>
                <w:rtl w:val="0"/>
              </w:rPr>
              <w:t xml:space="preserve"> Escalabilidad masiva y fiabilidad técnica (82% accuracy en line items). </w:t>
            </w:r>
            <w:r w:rsidDel="00000000" w:rsidR="00000000" w:rsidRPr="00000000">
              <w:rPr>
                <w:rFonts w:ascii="Google Sans" w:cs="Google Sans" w:eastAsia="Google Sans" w:hAnsi="Google Sans"/>
                <w:b w:val="1"/>
                <w:bCs w:val="1"/>
                <w:color w:val="1f1f1f"/>
                <w:shd w:fill="auto" w:val="clear"/>
                <w:rtl w:val="0"/>
              </w:rPr>
              <w:t xml:space="preserve">Contras:</w:t>
            </w:r>
            <w:r w:rsidDel="00000000" w:rsidR="00000000" w:rsidRPr="00000000">
              <w:rPr>
                <w:rFonts w:ascii="Google Sans" w:cs="Google Sans" w:eastAsia="Google Sans" w:hAnsi="Google Sans"/>
                <w:color w:val="1f1f1f"/>
                <w:shd w:fill="auto" w:val="clear"/>
                <w:rtl w:val="0"/>
              </w:rPr>
              <w:t xml:space="preserve"> Requiere post-procesamiento para clasificar subvencionabilidad. </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Google Cloud Document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Invoice Parser basado en modelos generativos y OCR de alta resolución. </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Baja / Media. Su tendencia a agrupar atributos dificulta el matching estructurado.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Pros:</w:t>
            </w:r>
            <w:r w:rsidDel="00000000" w:rsidR="00000000" w:rsidRPr="00000000">
              <w:rPr>
                <w:rFonts w:ascii="Google Sans" w:cs="Google Sans" w:eastAsia="Google Sans" w:hAnsi="Google Sans"/>
                <w:color w:val="1f1f1f"/>
                <w:shd w:fill="auto" w:val="clear"/>
                <w:rtl w:val="0"/>
              </w:rPr>
              <w:t xml:space="preserve"> Facilidad de uso para desarrolladores. </w:t>
            </w:r>
            <w:r w:rsidDel="00000000" w:rsidR="00000000" w:rsidRPr="00000000">
              <w:rPr>
                <w:rFonts w:ascii="Google Sans" w:cs="Google Sans" w:eastAsia="Google Sans" w:hAnsi="Google Sans"/>
                <w:b w:val="1"/>
                <w:bCs w:val="1"/>
                <w:color w:val="1f1f1f"/>
                <w:shd w:fill="auto" w:val="clear"/>
                <w:rtl w:val="0"/>
              </w:rPr>
              <w:t xml:space="preserve">Contras:</w:t>
            </w:r>
            <w:r w:rsidDel="00000000" w:rsidR="00000000" w:rsidRPr="00000000">
              <w:rPr>
                <w:rFonts w:ascii="Google Sans" w:cs="Google Sans" w:eastAsia="Google Sans" w:hAnsi="Google Sans"/>
                <w:color w:val="1f1f1f"/>
                <w:shd w:fill="auto" w:val="clear"/>
                <w:rtl w:val="0"/>
              </w:rPr>
              <w:t xml:space="preserve"> Bajo rendimiento documentado en la separación de atributos de línea (40% accuracy). </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Rossum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Plataforma de IA cognitiva que aprende de las correcciones del usuario (Human-in-the-loop).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Alta. El concepto de "validación adaptativa" es el núcleo funcional del objetivo del TFM.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Pros:</w:t>
            </w:r>
            <w:r w:rsidDel="00000000" w:rsidR="00000000" w:rsidRPr="00000000">
              <w:rPr>
                <w:rFonts w:ascii="Google Sans" w:cs="Google Sans" w:eastAsia="Google Sans" w:hAnsi="Google Sans"/>
                <w:color w:val="1f1f1f"/>
                <w:shd w:fill="auto" w:val="clear"/>
                <w:rtl w:val="0"/>
              </w:rPr>
              <w:t xml:space="preserve"> Interfaz nativa para revisión humana y alta precisión en facturas variables. </w:t>
            </w:r>
            <w:r w:rsidDel="00000000" w:rsidR="00000000" w:rsidRPr="00000000">
              <w:rPr>
                <w:rFonts w:ascii="Google Sans" w:cs="Google Sans" w:eastAsia="Google Sans" w:hAnsi="Google Sans"/>
                <w:b w:val="1"/>
                <w:bCs w:val="1"/>
                <w:color w:val="1f1f1f"/>
                <w:shd w:fill="auto" w:val="clear"/>
                <w:rtl w:val="0"/>
              </w:rPr>
              <w:t xml:space="preserve">Contras:</w:t>
            </w:r>
            <w:r w:rsidDel="00000000" w:rsidR="00000000" w:rsidRPr="00000000">
              <w:rPr>
                <w:rFonts w:ascii="Google Sans" w:cs="Google Sans" w:eastAsia="Google Sans" w:hAnsi="Google Sans"/>
                <w:color w:val="1f1f1f"/>
                <w:shd w:fill="auto" w:val="clear"/>
                <w:rtl w:val="0"/>
              </w:rPr>
              <w:t xml:space="preserve"> Coste prohibitivo para proyectos académicos. </w:t>
            </w:r>
            <w:r w:rsidDel="00000000" w:rsidR="00000000" w:rsidRPr="00000000">
              <w:rPr>
                <w:rFonts w:ascii="Google Sans" w:cs="Google Sans" w:eastAsia="Google Sans" w:hAnsi="Google Sans"/>
                <w:color w:val="444746"/>
                <w:sz w:val="24"/>
                <w:szCs w:val="24"/>
                <w:vertAlign w:val="superscript"/>
                <w:rtl w:val="0"/>
              </w:rPr>
              <w:t xml:space="preserve">15</w:t>
            </w:r>
          </w:p>
        </w:tc>
      </w:tr>
    </w:tbl>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Estas soluciones demuestran que, aunque la extracción (OCR) está resuelta en gran medida, la clasificación lógica del artículo según reglas de subvencionabilidad específicas (como las del FSE+) sigue siendo una capa de valor que debe desarrollarse de forma personalizada.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El TFM puede inspirarse en el sistema de puntuación de confianza (confidence scores) que ofrecen estas APIs para derivar automáticamente los casos dudosos a la clase "REVISAR".</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A">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Comparativa profunda entre los 3 sistemas del TFM</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siguiente tabla resume las dimensiones críticas evaluadas para determinar la viabilidad de cada sistema en el contexto del Fichero 03 y el entorno Google Colab.</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Dimensión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Sistema 1 (Híbrido/SVM)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Sistema 2 (fastText)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Sistema 3 (Semántico/MiniLM)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Objetivo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Detección robusta por palabras clave y reglas.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Resiliencia ante errores ortográficos y ruido.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Captura de intención y similitud conceptual.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Fundamento Teórico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Estadística frecuencial y márgenes óptimos.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Embeddings de subpalabras (n-gramas).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Atención contextual y Transformers.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Complejidad Computacional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Muy baja. Ejecutable en segundos.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Baja. Entrenamiento muy eficiente.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Alta. Requiere GPU para rendimiento óptimo.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GPU Necesaria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Recomendada para entrenamiento.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Implementación en Colab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Excelente. Sin restricciones.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Excelente. Librería ligera.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Factible pero lenta (T4 limitada).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Interpretabilidad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Alta. Pesos de coeficientes visibles.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Media. Proyecciones vectoriales.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Baja. Funcionamiento de "caja negra".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Robustez ante Ruido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Moderada. Sensible a erratas.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Muy Alta. Diseñado para subpalabras.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Alta. Captura contexto global.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Robustez ante Asimetría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Baja. Requiere solapamiento léxico.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Moderada.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Excelente. Entiende conceptos afines.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Integración de Reglas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Nativa y sencilla.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Sencilla.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Compleja (requiere capas adicionales).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Defensa ante Tribunal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Muy sólida por su transparencia.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Buena. Técnica moderna y eficiente.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Alta. Demuestra manejo de SOTA.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Adecuación al Fichero 03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Excelente para "Blacklists" de alcohol.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Muy buena para abreviaturas de retail.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Buena para descripciones semánticas.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Principales Riesgos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Sobreajuste a palabras específicas.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Pérdida de contexto en frases largas.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Alucinación semántica o falsos positivos.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Principales Ventajas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Trazabilidad total de la decisión.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Velocidad y manejo de OOV.</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Menor necesidad de limpieza manual.</w:t>
            </w:r>
          </w:p>
        </w:tc>
      </w:tr>
    </w:tbl>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evidencia sugiere que un sistema que combine la interpretabilidad del Sistema 1 con la robustez ante errores tipográficos del Sistema 2 constituye la arquitectura más equilibrada para una auditoría de fondos públicos, donde la justificación del error es tan importante como el acierto mismo.</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5">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Fundamentos teóricos aplicados al TFM</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Fundamentos de Data Science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tratamiento de los datos del Fichero 03 se encuadra en el paradigma de la clasificación supervisada multiclase bajo condiciones de desequilibrio (imbalance). Dado que la mayoría de los productos en un ticket de compra suelen ser permitidos (alimentación básica), el modelo se enfrenta al reto de identificar con extrema precisión las clases minoritarias pero críticas: productos no permitidos (alcohol, tabaco, lujo).</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Técnicamente, esto requiere el uso de técnicas de pesaje de clases o muestreo estratificado para asegurar que el hiperplano de decisión de modelos como SVM no se sesgue hacia la clase mayoritaria.</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concepto de "Reliability Threshold" (umbral de fiabilidad) es fundamental. Investigaciones en etiquetado estadístico proponen separar las asignaciones en "fiables" e "infiables" basándose en el cociente entre las probabilidades de las dos mejores clases predichas. Si la diferencia es mínima, el sistema debe abstenerse de clasificar automáticamente y delegar la decisión a un revisor humano.</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Fundamentos de IA y NLP</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el procesamiento de textos cortos, la "escasez de datos" (data sparsity) es el problema central. Al contrario que en documentos largos, en una línea de factura ("LCHE ENT 1L") no existe redundancia semántica. El uso de n-gramas de caracteres es la respuesta técnica a este problema, permitiendo que el modelo aprenda que los prefijos o sufijos (como "LCHE" o "LECH") contienen la carga informativa necesaria para la clasificación.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Desde la perspectiva de los embeddings, la transición de representaciones estáticas (TF-IDF) a dinámicas (Transformers) permite resolver la polisemia. Sin embargo, en el dominio del retail, la polisemia es menos frecuente que la sinonimia técnica. Por ello, la literatura recomienda el uso de "Domain-specific Fine-tuning", adaptando modelos pre-entrenados al vocabulario específico del comercio minorista para evitar que el modelo ignore términos técnicos cruciales que no aparecen en el corpus general de entrenamiento.</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Fundamentos de negocio</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validación económica del FSE+ se rige por el principio de subvencionabilidad (eligibility). Según el Reglamento (UE) 2021/1060 y las bases específicas del Programa Básico, el sistema debe ser capaz de discernir no solo el tipo de producto, sino su adecuación a las listas permitidas.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Esto incluye la distinción entre alimentos básicos (subvencionables) y productos excluidos como bebidas alcohólicas o refrescos con azúcares añadidos.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sistema debe actuar como una herramienta de mitigación de riesgos financieros. Un error de tipo I (permitir un gasto prohibido) tiene consecuencias legales y financieras directas para la entidad gestora, lo que justifica una configuración conservadora del modelo, priorizando la precisión (precision) sobre la sensibilidad (recall) en la clase de productos permitidos.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 Human-in-the-loop y coste del error</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diseño del TFM asume que la IA es un copiloto, no un sustituto. La arquitectura "human-in-the-loop" se justifica por la naturaleza crítica de la gestión de fondos europeos. La implementación técnica consiste en una cola de revisión donde los artículos clasificados con una confianza inferior al umbral </w:t>
      </w:r>
      <w:r w:rsidDel="00000000" w:rsidR="00000000" w:rsidRPr="00000000">
        <w:rPr>
          <w:rFonts w:ascii="Google Sans" w:cs="Google Sans" w:eastAsia="Google Sans" w:hAnsi="Google Sans"/>
          <w:color w:val="1f1f1f"/>
        </w:rPr>
        <w:drawing>
          <wp:inline distB="19050" distT="19050" distL="19050" distR="19050">
            <wp:extent cx="101468" cy="23675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1468" cy="2367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(e.g., 0.85) son presentados a un auditor humano junto con la justificación del modelo (por ejemplo, resaltando los términos TF-IDF que causaron la duda).</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coste del error se cuantifica en términos de tiempo de auditoría y riesgo de descertificación de gastos. La literatura demuestra que automatizar incluso el 60% de las líneas "claras" reduce drásticamente la carga de trabajo administrativa, permitiendo que el personal se centre en los casos de fraude potencial o ambigüedad normativa compleja.</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6.5 Justificación metodológica bajo Python + Google Colab gratuito</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elección de Python se fundamenta en su ecosistema líder para ciencia de datos (Scikit-learn, Pandas, RapidFuzz, Sentence-Transformers). Google Colab gratuito, a pesar de sus limitaciones, es un entorno suficiente para este TFM si se aplican las siguientes estrategias de optimización documentadas en la literatura:</w:t>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Vectorización eficiente:</w:t>
      </w:r>
      <w:r w:rsidDel="00000000" w:rsidR="00000000" w:rsidRPr="00000000">
        <w:rPr>
          <w:rFonts w:ascii="Google Sans" w:cs="Google Sans" w:eastAsia="Google Sans" w:hAnsi="Google Sans"/>
          <w:color w:val="1f1f1f"/>
          <w:rtl w:val="0"/>
        </w:rPr>
        <w:t xml:space="preserve"> Uso de matrices dispersas (sparse matrices) para TF-IDF, minimizando el uso de RAM.</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8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Modelos compactos:</w:t>
      </w:r>
      <w:r w:rsidDel="00000000" w:rsidR="00000000" w:rsidRPr="00000000">
        <w:rPr>
          <w:rFonts w:ascii="Google Sans" w:cs="Google Sans" w:eastAsia="Google Sans" w:hAnsi="Google Sans"/>
          <w:color w:val="1f1f1f"/>
          <w:rtl w:val="0"/>
        </w:rPr>
        <w:t xml:space="preserve"> Priorización de LinearSVM y MiniLM sobre modelos BERT "Large", que agotarían la memoria disponible.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8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Precomputación:</w:t>
      </w:r>
      <w:r w:rsidDel="00000000" w:rsidR="00000000" w:rsidRPr="00000000">
        <w:rPr>
          <w:rFonts w:ascii="Google Sans" w:cs="Google Sans" w:eastAsia="Google Sans" w:hAnsi="Google Sans"/>
          <w:color w:val="1f1f1f"/>
          <w:rtl w:val="0"/>
        </w:rPr>
        <w:t xml:space="preserve"> Almacenamiento de embeddings en disco para evitar recalcular representaciones en cada ejecución del notebook.</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87">
      <w:pPr>
        <w:pStyle w:val="Heading1"/>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Recomendación final razonada</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Tras el análisis multidimensional realizado, la recomendación técnica para el TFM es la adopción del </w:t>
      </w:r>
      <w:r w:rsidDel="00000000" w:rsidR="00000000" w:rsidRPr="00000000">
        <w:rPr>
          <w:rFonts w:ascii="Google Sans" w:cs="Google Sans" w:eastAsia="Google Sans" w:hAnsi="Google Sans"/>
          <w:b w:val="1"/>
          <w:bCs w:val="1"/>
          <w:color w:val="1f1f1f"/>
          <w:rtl w:val="0"/>
        </w:rPr>
        <w:t xml:space="preserve">Sistema 1 (Reglas + TF-IDF + LinearSVM) como modelo principal</w:t>
      </w:r>
      <w:r w:rsidDel="00000000" w:rsidR="00000000" w:rsidRPr="00000000">
        <w:rPr>
          <w:rFonts w:ascii="Google Sans" w:cs="Google Sans" w:eastAsia="Google Sans" w:hAnsi="Google Sans"/>
          <w:color w:val="1f1f1f"/>
          <w:rtl w:val="0"/>
        </w:rPr>
        <w:t xml:space="preserve">, complementado con técnicas de subpalabras del Sistema 2 para la normalización.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Razonamiento:</w:t>
      </w:r>
    </w:p>
    <w:p w:rsidR="00000000" w:rsidDel="00000000" w:rsidP="00000000" w:rsidRDefault="00000000" w:rsidRPr="00000000" w14:paraId="0000008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Superioridad en el Dominio:</w:t>
      </w:r>
      <w:r w:rsidDel="00000000" w:rsidR="00000000" w:rsidRPr="00000000">
        <w:rPr>
          <w:rFonts w:ascii="Google Sans" w:cs="Google Sans" w:eastAsia="Google Sans" w:hAnsi="Google Sans"/>
          <w:color w:val="1f1f1f"/>
          <w:rtl w:val="0"/>
        </w:rPr>
        <w:t xml:space="preserve"> El estudio SCAN-NF y el benchmark de "Product Matching Lessons" coinciden en que los modelos lineales a menudo superan a las redes neuronales en la clasificación de códigos de productos de facturas, donde la señal léxica es fuerte y directa.</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Transparencia y Defensa:</w:t>
      </w:r>
      <w:r w:rsidDel="00000000" w:rsidR="00000000" w:rsidRPr="00000000">
        <w:rPr>
          <w:rFonts w:ascii="Google Sans" w:cs="Google Sans" w:eastAsia="Google Sans" w:hAnsi="Google Sans"/>
          <w:color w:val="1f1f1f"/>
          <w:rtl w:val="0"/>
        </w:rPr>
        <w:t xml:space="preserve"> Un tribunal académico valorará la capacidad de explicar por qué un artículo fue rechazado (e.g., "El término 'CERVEZA' tiene un coeficiente negativo alto en la clase PERMITIDO"). Los modelos semánticos del Sistema 3, aunque potentes, carecen de esta trazabilidad directa.</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Viabilidad Operativa:</w:t>
      </w:r>
      <w:r w:rsidDel="00000000" w:rsidR="00000000" w:rsidRPr="00000000">
        <w:rPr>
          <w:rFonts w:ascii="Google Sans" w:cs="Google Sans" w:eastAsia="Google Sans" w:hAnsi="Google Sans"/>
          <w:color w:val="1f1f1f"/>
          <w:rtl w:val="0"/>
        </w:rPr>
        <w:t xml:space="preserve"> El Sistema 1 permite realizar ciclos de entrenamiento y validación de milisegundos en Colab, facilitando una experimentación rigurosa (Grid Search, Cross-validation) que sería impracticable con modelos más pesados.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Gestión de Reglas de Negocio:</w:t>
      </w:r>
      <w:r w:rsidDel="00000000" w:rsidR="00000000" w:rsidRPr="00000000">
        <w:rPr>
          <w:rFonts w:ascii="Google Sans" w:cs="Google Sans" w:eastAsia="Google Sans" w:hAnsi="Google Sans"/>
          <w:color w:val="1f1f1f"/>
          <w:rtl w:val="0"/>
        </w:rPr>
        <w:t xml:space="preserve"> La arquitectura híbrida permite "inyectar" conocimiento experto (como la lista de productos prohibidos de la CARM) de forma determinista mediante diccionarios, algo fundamental para garantizar el cumplimiento normativo.</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 recomienda usar el </w:t>
      </w:r>
      <w:r w:rsidDel="00000000" w:rsidR="00000000" w:rsidRPr="00000000">
        <w:rPr>
          <w:rFonts w:ascii="Google Sans" w:cs="Google Sans" w:eastAsia="Google Sans" w:hAnsi="Google Sans"/>
          <w:b w:val="1"/>
          <w:bCs w:val="1"/>
          <w:color w:val="1f1f1f"/>
          <w:rtl w:val="0"/>
        </w:rPr>
        <w:t xml:space="preserve">Sistema 3 (MiniLM)</w:t>
      </w:r>
      <w:r w:rsidDel="00000000" w:rsidR="00000000" w:rsidRPr="00000000">
        <w:rPr>
          <w:rFonts w:ascii="Google Sans" w:cs="Google Sans" w:eastAsia="Google Sans" w:hAnsi="Google Sans"/>
          <w:color w:val="1f1f1f"/>
          <w:rtl w:val="0"/>
        </w:rPr>
        <w:t xml:space="preserve"> únicamente como una herramienta de "segunda opinión" para resolver casos donde el Sistema 1 tiene baja confianza, aprovechando su capacidad semántica para detectar sinónimos que el modelo léxico pudiera haber pasado por alto.</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8F">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Texto reutilizable directamente para el TFM</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Párrafo de cierre del estado del arte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revisión de la literatura evidencia una convergencia hacia modelos híbridos que equilibran la potencia computacional con la interpretabilidad operativa. Mientras que el estado del arte en NLP generalista se inclina por arquitecturas de atención masiva, el dominio específico de la clasificación de líneas de factura para auditoría fiscal sigue encontrando en los clasificadores lineales con representaciones estadísticas una base de fiabilidad inigualable. Esta investigación confirma que la problemática del Fichero 03 no reside únicamente en la capacidad del algoritmo, sino en la correcta gestión de la asimetría informativa y el ruido léxico característico del retail.</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Párrafo de transición hacia la metodología</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Dada la evidencia recopilada, se propone una metodología de diseño experimental que prioriza la robustez y la eficiencia. Se transita de una fase de análisis teórico a una implementación práctica basada en Python, donde la arquitectura del sistema se diseña para operar bajo las restricciones reales de infraestructura de la entidad gestora. El enfoque adoptado busca maximizar la precisión en la detección de productos no subvencionables, integrando umbrales de confianza que garantizan una supervisión humana efectiva y una trazabilidad total del gasto público.</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 Párrafo justificando la elección del modelo principal</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elección del modelo Support Vector Machine (SVM) con núcleo lineal se fundamenta en su capacidad probada para gestionar espacios vectoriales de alta dimensionalidad con conjuntos de datos de texto corto. A diferencia de las redes neuronales profundas, el SVM ofrece una frontera de decisión clara y explicable, factor crítico en un entorno de auditoría donde cada decisión de rechazo debe poder ser justificada ante el beneficiario y los organismos de control. Asimismo, su bajo coste computacional permite una iteración rápida en entornos de nube gratuita, asegurando la reproducibilidad del estudio sin depender de hardware de altas prestaciones.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8.4 Párrafo justificando los modelos comparativos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inclusión de fastText y Sentence-Transformers como modelos comparativos responde a la necesidad de evaluar el impacto de la semántica profunda y la morfología en la precisión del sistema. Mientras que el modelo principal se centra en la señal léxica directa, estos modelos alternativos permiten explorar la resiliencia del pipeline frente a errores ortográficos extremos y la capacidad de generalización ante nuevos productos no presentes en el conjunto de entrenamiento inicial, proporcionando una visión holística del rendimiento tecnológico actual.</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 Párrafo sobre limitaciones y alcance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 necesario reconocer que el alcance de este sistema está delimitado por la calidad del dato de origen y la estabilidad de las reglas de negocio. El modelo no sustituye el juicio experto en casos de ambigüedad normativa, sino que actúa como un filtro de alta eficiencia para los casos triviales. La limitación técnica impuesta por el entorno de desarrollo (Google Colab) se convierte, en este sentido, en una garantía de eficiencia, forzando el diseño de una solución optimizada y ligera que sea fácilmente transferible a los sistemas de producción de la administración pública.</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9A">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Bibliografía comentada</w:t>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Papers</w:t>
      </w:r>
    </w:p>
    <w:p w:rsidR="00000000" w:rsidDel="00000000" w:rsidP="00000000" w:rsidRDefault="00000000" w:rsidRPr="00000000" w14:paraId="0000009C">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Naeim Abadi, A. (2023). Product Entity Matching by Leveraging Tabular Data. University of Alberta.</w:t>
      </w:r>
    </w:p>
    <w:p w:rsidR="00000000" w:rsidDel="00000000" w:rsidP="00000000" w:rsidRDefault="00000000" w:rsidRPr="00000000" w14:paraId="0000009D">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Tipo:</w:t>
      </w:r>
      <w:r w:rsidDel="00000000" w:rsidR="00000000" w:rsidRPr="00000000">
        <w:rPr>
          <w:rFonts w:ascii="Google Sans" w:cs="Google Sans" w:eastAsia="Google Sans" w:hAnsi="Google Sans"/>
          <w:color w:val="1f1f1f"/>
          <w:rtl w:val="0"/>
        </w:rPr>
        <w:t xml:space="preserve"> Tesis de Máster.</w:t>
      </w:r>
    </w:p>
    <w:p w:rsidR="00000000" w:rsidDel="00000000" w:rsidP="00000000" w:rsidRDefault="00000000" w:rsidRPr="00000000" w14:paraId="0000009E">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Utilidad:</w:t>
      </w:r>
      <w:r w:rsidDel="00000000" w:rsidR="00000000" w:rsidRPr="00000000">
        <w:rPr>
          <w:rFonts w:ascii="Google Sans" w:cs="Google Sans" w:eastAsia="Google Sans" w:hAnsi="Google Sans"/>
          <w:color w:val="1f1f1f"/>
          <w:rtl w:val="0"/>
        </w:rPr>
        <w:t xml:space="preserve"> Proporciona la base para integrar campos jerárquicos (Familia/Grupo) en el modelo de matching, mejorando la precisión en descripciones cortas.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9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Paganelli, M., et al. (2024). How Transformers Are Revolutionizing Entity Matching. CEUR-WS.</w:t>
      </w:r>
    </w:p>
    <w:p w:rsidR="00000000" w:rsidDel="00000000" w:rsidP="00000000" w:rsidRDefault="00000000" w:rsidRPr="00000000" w14:paraId="000000A0">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Tipo:</w:t>
      </w:r>
      <w:r w:rsidDel="00000000" w:rsidR="00000000" w:rsidRPr="00000000">
        <w:rPr>
          <w:rFonts w:ascii="Google Sans" w:cs="Google Sans" w:eastAsia="Google Sans" w:hAnsi="Google Sans"/>
          <w:color w:val="1f1f1f"/>
          <w:rtl w:val="0"/>
        </w:rPr>
        <w:t xml:space="preserve"> Paper de congreso.</w:t>
      </w:r>
    </w:p>
    <w:p w:rsidR="00000000" w:rsidDel="00000000" w:rsidP="00000000" w:rsidRDefault="00000000" w:rsidRPr="00000000" w14:paraId="000000A1">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Utilidad:</w:t>
      </w:r>
      <w:r w:rsidDel="00000000" w:rsidR="00000000" w:rsidRPr="00000000">
        <w:rPr>
          <w:rFonts w:ascii="Google Sans" w:cs="Google Sans" w:eastAsia="Google Sans" w:hAnsi="Google Sans"/>
          <w:color w:val="1f1f1f"/>
          <w:rtl w:val="0"/>
        </w:rPr>
        <w:t xml:space="preserve"> Benchmark crítico que compara BERT, SBERT y Ditto, estableciendo el estado del arte en precisión (F1 &gt; 90%).</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A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 Y., et al. (2020). Deep Entity Matching with Pre-trained Language Models. ArXiv.</w:t>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Tipo:</w:t>
      </w:r>
      <w:r w:rsidDel="00000000" w:rsidR="00000000" w:rsidRPr="00000000">
        <w:rPr>
          <w:rFonts w:ascii="Google Sans" w:cs="Google Sans" w:eastAsia="Google Sans" w:hAnsi="Google Sans"/>
          <w:color w:val="1f1f1f"/>
          <w:rtl w:val="0"/>
        </w:rPr>
        <w:t xml:space="preserve"> Paper científico (Ditto).</w:t>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Utilidad:</w:t>
      </w:r>
      <w:r w:rsidDel="00000000" w:rsidR="00000000" w:rsidRPr="00000000">
        <w:rPr>
          <w:rFonts w:ascii="Google Sans" w:cs="Google Sans" w:eastAsia="Google Sans" w:hAnsi="Google Sans"/>
          <w:color w:val="1f1f1f"/>
          <w:rtl w:val="0"/>
        </w:rPr>
        <w:t xml:space="preserve"> Detalla técnicas de inyección de conocimiento de dominio y aumento de datos esenciales para el Sistema 3.</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Tesis / TFMs</w:t>
      </w:r>
    </w:p>
    <w:p w:rsidR="00000000" w:rsidDel="00000000" w:rsidP="00000000" w:rsidRDefault="00000000" w:rsidRPr="00000000" w14:paraId="000000A6">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Santos Kieckbusch, D. (2022). SCAN-NF: a Machine Learning System for Invoice Product Transaction Classification. Universidad de Brasilia.</w:t>
      </w:r>
    </w:p>
    <w:p w:rsidR="00000000" w:rsidDel="00000000" w:rsidP="00000000" w:rsidRDefault="00000000" w:rsidRPr="00000000" w14:paraId="000000A7">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Tipo:</w:t>
      </w:r>
      <w:r w:rsidDel="00000000" w:rsidR="00000000" w:rsidRPr="00000000">
        <w:rPr>
          <w:rFonts w:ascii="Google Sans" w:cs="Google Sans" w:eastAsia="Google Sans" w:hAnsi="Google Sans"/>
          <w:color w:val="1f1f1f"/>
          <w:rtl w:val="0"/>
        </w:rPr>
        <w:t xml:space="preserve"> Disertación de Máster.</w:t>
      </w:r>
    </w:p>
    <w:p w:rsidR="00000000" w:rsidDel="00000000" w:rsidP="00000000" w:rsidRDefault="00000000" w:rsidRPr="00000000" w14:paraId="000000A8">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Utilidad:</w:t>
      </w:r>
      <w:r w:rsidDel="00000000" w:rsidR="00000000" w:rsidRPr="00000000">
        <w:rPr>
          <w:rFonts w:ascii="Google Sans" w:cs="Google Sans" w:eastAsia="Google Sans" w:hAnsi="Google Sans"/>
          <w:color w:val="1f1f1f"/>
          <w:rtl w:val="0"/>
        </w:rPr>
        <w:t xml:space="preserve"> Es la referencia principal para justificar el uso de SVM frente a redes neuronales en facturas, logrando precisiones del 98%.</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A9">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Jundt, M. (2020). Entity Matching for Fashion Products. University of Twente.</w:t>
      </w:r>
    </w:p>
    <w:p w:rsidR="00000000" w:rsidDel="00000000" w:rsidP="00000000" w:rsidRDefault="00000000" w:rsidRPr="00000000" w14:paraId="000000AA">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Tipo:</w:t>
      </w:r>
      <w:r w:rsidDel="00000000" w:rsidR="00000000" w:rsidRPr="00000000">
        <w:rPr>
          <w:rFonts w:ascii="Google Sans" w:cs="Google Sans" w:eastAsia="Google Sans" w:hAnsi="Google Sans"/>
          <w:color w:val="1f1f1f"/>
          <w:rtl w:val="0"/>
        </w:rPr>
        <w:t xml:space="preserve"> Tesis de Máster.</w:t>
      </w:r>
    </w:p>
    <w:p w:rsidR="00000000" w:rsidDel="00000000" w:rsidP="00000000" w:rsidRDefault="00000000" w:rsidRPr="00000000" w14:paraId="000000AB">
      <w:pPr>
        <w:numPr>
          <w:ilvl w:val="1"/>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Utilidad:</w:t>
      </w:r>
      <w:r w:rsidDel="00000000" w:rsidR="00000000" w:rsidRPr="00000000">
        <w:rPr>
          <w:rFonts w:ascii="Google Sans" w:cs="Google Sans" w:eastAsia="Google Sans" w:hAnsi="Google Sans"/>
          <w:color w:val="1f1f1f"/>
          <w:rtl w:val="0"/>
        </w:rPr>
        <w:t xml:space="preserve"> Aporta la metodología de bloqueo (blocking) para reducir el espacio de búsqueda en datasets de retail masivos.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Repositorios universitarios</w:t>
      </w:r>
    </w:p>
    <w:p w:rsidR="00000000" w:rsidDel="00000000" w:rsidP="00000000" w:rsidRDefault="00000000" w:rsidRPr="00000000" w14:paraId="000000AD">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Diva-Portal (2022). Automated document classification for Medius invoice workflow.</w:t>
      </w:r>
    </w:p>
    <w:p w:rsidR="00000000" w:rsidDel="00000000" w:rsidP="00000000" w:rsidRDefault="00000000" w:rsidRPr="00000000" w14:paraId="000000AE">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Tipo:</w:t>
      </w:r>
      <w:r w:rsidDel="00000000" w:rsidR="00000000" w:rsidRPr="00000000">
        <w:rPr>
          <w:rFonts w:ascii="Google Sans" w:cs="Google Sans" w:eastAsia="Google Sans" w:hAnsi="Google Sans"/>
          <w:color w:val="1f1f1f"/>
          <w:rtl w:val="0"/>
        </w:rPr>
        <w:t xml:space="preserve"> Repositorio académico (Suecia).</w:t>
      </w:r>
    </w:p>
    <w:p w:rsidR="00000000" w:rsidDel="00000000" w:rsidP="00000000" w:rsidRDefault="00000000" w:rsidRPr="00000000" w14:paraId="000000AF">
      <w:pPr>
        <w:numPr>
          <w:ilvl w:val="1"/>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Utilidad:</w:t>
      </w:r>
      <w:r w:rsidDel="00000000" w:rsidR="00000000" w:rsidRPr="00000000">
        <w:rPr>
          <w:rFonts w:ascii="Google Sans" w:cs="Google Sans" w:eastAsia="Google Sans" w:hAnsi="Google Sans"/>
          <w:color w:val="1f1f1f"/>
          <w:rtl w:val="0"/>
        </w:rPr>
        <w:t xml:space="preserve"> Validación empírica de que la Regresión Logística con TF-IDF es óptima para clasificar facturas en entornos de producción real.</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Documentación oficial de mercado</w:t>
      </w:r>
    </w:p>
    <w:p w:rsidR="00000000" w:rsidDel="00000000" w:rsidP="00000000" w:rsidRDefault="00000000" w:rsidRPr="00000000" w14:paraId="000000B1">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Snowflake (2024). Entity Resolution: Retail Product Classification.</w:t>
      </w:r>
    </w:p>
    <w:p w:rsidR="00000000" w:rsidDel="00000000" w:rsidP="00000000" w:rsidRDefault="00000000" w:rsidRPr="00000000" w14:paraId="000000B2">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Tipo:</w:t>
      </w:r>
      <w:r w:rsidDel="00000000" w:rsidR="00000000" w:rsidRPr="00000000">
        <w:rPr>
          <w:rFonts w:ascii="Google Sans" w:cs="Google Sans" w:eastAsia="Google Sans" w:hAnsi="Google Sans"/>
          <w:color w:val="1f1f1f"/>
          <w:rtl w:val="0"/>
        </w:rPr>
        <w:t xml:space="preserve"> Guía técnica.</w:t>
      </w:r>
    </w:p>
    <w:p w:rsidR="00000000" w:rsidDel="00000000" w:rsidP="00000000" w:rsidRDefault="00000000" w:rsidRPr="00000000" w14:paraId="000000B3">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Utilidad:</w:t>
      </w:r>
      <w:r w:rsidDel="00000000" w:rsidR="00000000" w:rsidRPr="00000000">
        <w:rPr>
          <w:rFonts w:ascii="Google Sans" w:cs="Google Sans" w:eastAsia="Google Sans" w:hAnsi="Google Sans"/>
          <w:color w:val="1f1f1f"/>
          <w:rtl w:val="0"/>
        </w:rPr>
        <w:t xml:space="preserve"> Ejemplo práctico de uso de embeddings y similitud del coseno para armonizar descripciones inconsistentes entre diferentes minoristas.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B4">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AWS / Microsoft Azure (2025). Documentation for AnalyzeExpense and Document Intelligence.</w:t>
      </w:r>
    </w:p>
    <w:p w:rsidR="00000000" w:rsidDel="00000000" w:rsidP="00000000" w:rsidRDefault="00000000" w:rsidRPr="00000000" w14:paraId="000000B5">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Tipo:</w:t>
      </w:r>
      <w:r w:rsidDel="00000000" w:rsidR="00000000" w:rsidRPr="00000000">
        <w:rPr>
          <w:rFonts w:ascii="Google Sans" w:cs="Google Sans" w:eastAsia="Google Sans" w:hAnsi="Google Sans"/>
          <w:color w:val="1f1f1f"/>
          <w:rtl w:val="0"/>
        </w:rPr>
        <w:t xml:space="preserve"> Documentación técnica oficial.</w:t>
      </w:r>
    </w:p>
    <w:p w:rsidR="00000000" w:rsidDel="00000000" w:rsidP="00000000" w:rsidRDefault="00000000" w:rsidRPr="00000000" w14:paraId="000000B6">
      <w:pPr>
        <w:numPr>
          <w:ilvl w:val="1"/>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Utilidad:</w:t>
      </w:r>
      <w:r w:rsidDel="00000000" w:rsidR="00000000" w:rsidRPr="00000000">
        <w:rPr>
          <w:rFonts w:ascii="Google Sans" w:cs="Google Sans" w:eastAsia="Google Sans" w:hAnsi="Google Sans"/>
          <w:color w:val="1f1f1f"/>
          <w:rtl w:val="0"/>
        </w:rPr>
        <w:t xml:space="preserve"> Referencia para establecer benchmarks de precisión en la extracción de line items y entender las mejores prácticas de preparación de documentos.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B7">
      <w:pPr>
        <w:pStyle w:val="Heading1"/>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Anexo metodológico opcional</w:t>
      </w:r>
    </w:p>
    <w:p w:rsidR="00000000" w:rsidDel="00000000" w:rsidP="00000000" w:rsidRDefault="00000000" w:rsidRPr="00000000" w14:paraId="000000B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Propuesta de estrategia experimental</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el TFM, se sugiere el siguiente flujo de trabajo en Google Colab:</w:t>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Construcción del Catálogo Maestro:</w:t>
      </w:r>
      <w:r w:rsidDel="00000000" w:rsidR="00000000" w:rsidRPr="00000000">
        <w:rPr>
          <w:rFonts w:ascii="Google Sans" w:cs="Google Sans" w:eastAsia="Google Sans" w:hAnsi="Google Sans"/>
          <w:color w:val="1f1f1f"/>
          <w:rtl w:val="0"/>
        </w:rPr>
        <w:t xml:space="preserve"> Crear un diccionario de términos "prohibidos" (alcohol, dulces) y "permitidos" basados en las bases de la CARM.</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Pipeline de Preprocesamiento:</w:t>
      </w:r>
      <w:r w:rsidDel="00000000" w:rsidR="00000000" w:rsidRPr="00000000">
        <w:rPr>
          <w:rFonts w:ascii="Google Sans" w:cs="Google Sans" w:eastAsia="Google Sans" w:hAnsi="Google Sans"/>
          <w:color w:val="1f1f1f"/>
          <w:rtl w:val="0"/>
        </w:rPr>
        <w:t xml:space="preserve"> Implementar un normalizador que use RapidFuzz para corregir errores ortográficos comunes antes de la vectorización.</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Entrenamiento:</w:t>
      </w:r>
      <w:r w:rsidDel="00000000" w:rsidR="00000000" w:rsidRPr="00000000">
        <w:rPr>
          <w:rFonts w:ascii="Google Sans" w:cs="Google Sans" w:eastAsia="Google Sans" w:hAnsi="Google Sans"/>
          <w:color w:val="1f1f1f"/>
          <w:rtl w:val="0"/>
        </w:rPr>
        <w:t xml:space="preserve"> Ejecutar un TfidfVectorizer con n-gramas (1,3) y un LinearSVC utilizando una validación cruzada estratificada de 5 pliegues.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Evaluación de Modelos:</w:t>
      </w:r>
      <w:r w:rsidDel="00000000" w:rsidR="00000000" w:rsidRPr="00000000">
        <w:rPr>
          <w:rFonts w:ascii="Google Sans" w:cs="Google Sans" w:eastAsia="Google Sans" w:hAnsi="Google Sans"/>
          <w:color w:val="1f1f1f"/>
          <w:rtl w:val="0"/>
        </w:rPr>
        <w:t xml:space="preserve"> Comparar los resultados del Sistema 1 con un modelo fasttext supervisado y un retrieval de vecinos cercanos usando all-MiniLM-L6-v2.</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Métricas recomendadas</w:t>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F1-Score por clase:</w:t>
      </w:r>
      <w:r w:rsidDel="00000000" w:rsidR="00000000" w:rsidRPr="00000000">
        <w:rPr>
          <w:rFonts w:ascii="Google Sans" w:cs="Google Sans" w:eastAsia="Google Sans" w:hAnsi="Google Sans"/>
          <w:color w:val="1f1f1f"/>
          <w:rtl w:val="0"/>
        </w:rPr>
        <w:t xml:space="preserve"> Especial atención a la clase "NO PERMITIDO" para minimizar el riesgo financiero.</w:t>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Curva de Precisión-Exhaustividad:</w:t>
      </w:r>
      <w:r w:rsidDel="00000000" w:rsidR="00000000" w:rsidRPr="00000000">
        <w:rPr>
          <w:rFonts w:ascii="Google Sans" w:cs="Google Sans" w:eastAsia="Google Sans" w:hAnsi="Google Sans"/>
          <w:color w:val="1f1f1f"/>
          <w:rtl w:val="0"/>
        </w:rPr>
        <w:t xml:space="preserve"> Para definir el umbral </w:t>
      </w:r>
      <w:r w:rsidDel="00000000" w:rsidR="00000000" w:rsidRPr="00000000">
        <w:rPr>
          <w:rFonts w:ascii="Google Sans" w:cs="Google Sans" w:eastAsia="Google Sans" w:hAnsi="Google Sans"/>
          <w:color w:val="1f1f1f"/>
        </w:rPr>
        <w:drawing>
          <wp:inline distB="19050" distT="19050" distL="19050" distR="19050">
            <wp:extent cx="101468" cy="236758"/>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1468" cy="2367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óptimo que minimice la revisión humana sin comprometer la seguridad.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Latency Benchmark:</w:t>
      </w:r>
      <w:r w:rsidDel="00000000" w:rsidR="00000000" w:rsidRPr="00000000">
        <w:rPr>
          <w:rFonts w:ascii="Google Sans" w:cs="Google Sans" w:eastAsia="Google Sans" w:hAnsi="Google Sans"/>
          <w:color w:val="1f1f1f"/>
          <w:rtl w:val="0"/>
        </w:rPr>
        <w:t xml:space="preserve"> Medir el tiempo de clasificación por cada 1.000 líneas para asegurar la escalabilidad operativa.</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C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Riesgos metodológicos y recomendaciones</w:t>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Riesgo de sobreajuste:</w:t>
      </w:r>
      <w:r w:rsidDel="00000000" w:rsidR="00000000" w:rsidRPr="00000000">
        <w:rPr>
          <w:rFonts w:ascii="Google Sans" w:cs="Google Sans" w:eastAsia="Google Sans" w:hAnsi="Google Sans"/>
          <w:color w:val="1f1f1f"/>
          <w:rtl w:val="0"/>
        </w:rPr>
        <w:t xml:space="preserve"> Debido al vocabulario limitado de ciertos tickets, el modelo podría aprender nombres de comercios en lugar de categorías de productos. Se recomienda eliminar nombres de establecimientos durante el preprocesamiento.</w:t>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Desequilibrio de clases:</w:t>
      </w:r>
      <w:r w:rsidDel="00000000" w:rsidR="00000000" w:rsidRPr="00000000">
        <w:rPr>
          <w:rFonts w:ascii="Google Sans" w:cs="Google Sans" w:eastAsia="Google Sans" w:hAnsi="Google Sans"/>
          <w:color w:val="1f1f1f"/>
          <w:rtl w:val="0"/>
        </w:rPr>
        <w:t xml:space="preserve"> Si el dataset tiene pocos ejemplos de productos prohibidos, utilizar técnicas de sobremuestreo (SMOTE) o síntesis de texto con LLMs para equilibrar el entrenamiento.</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Limitaciones de Colab:</w:t>
      </w:r>
      <w:r w:rsidDel="00000000" w:rsidR="00000000" w:rsidRPr="00000000">
        <w:rPr>
          <w:rFonts w:ascii="Google Sans" w:cs="Google Sans" w:eastAsia="Google Sans" w:hAnsi="Google Sans"/>
          <w:color w:val="1f1f1f"/>
          <w:rtl w:val="0"/>
        </w:rPr>
        <w:t xml:space="preserve"> Evitar el uso de embeddings de gran tamaño (e.g., GPT o BERT-Large) que puedan causar errores de "Out of Memory" (OOM).</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C6">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Fuentes citadas</w:t>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Programa FSE+ de Asistencia Material Básica (Programa BÁSICO). - Sede electrónica de la Administración Pública de la C.A.R.M., acceso: marzo 24, 2026, </w:t>
      </w:r>
      <w:hyperlink r:id="rId7">
        <w:r w:rsidDel="00000000" w:rsidR="00000000" w:rsidRPr="00000000">
          <w:rPr>
            <w:rFonts w:ascii="Google Sans" w:cs="Google Sans" w:eastAsia="Google Sans" w:hAnsi="Google Sans"/>
            <w:color w:val="0000ee"/>
            <w:sz w:val="24"/>
            <w:szCs w:val="24"/>
            <w:u w:val="single"/>
            <w:rtl w:val="0"/>
          </w:rPr>
          <w:t xml:space="preserve">https://sede.carm.es/web/pagina?IDCONTENIDO=4416&amp;IDTIPO=240&amp;RASTRO=c$m40288</w:t>
        </w:r>
      </w:hyperlink>
      <w:r w:rsidDel="00000000" w:rsidR="00000000" w:rsidRPr="00000000">
        <w:rPr>
          <w:rtl w:val="0"/>
        </w:rPr>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Subvención Programa FSE+ de asistencia material básica - Todas las noticias - Guest - Murcia Social, acceso: marzo 24, 2026, </w:t>
      </w:r>
      <w:hyperlink r:id="rId8">
        <w:r w:rsidDel="00000000" w:rsidR="00000000" w:rsidRPr="00000000">
          <w:rPr>
            <w:rFonts w:ascii="Google Sans" w:cs="Google Sans" w:eastAsia="Google Sans" w:hAnsi="Google Sans"/>
            <w:color w:val="0000ee"/>
            <w:sz w:val="24"/>
            <w:szCs w:val="24"/>
            <w:u w:val="single"/>
            <w:rtl w:val="0"/>
          </w:rPr>
          <w:t xml:space="preserve">https://murciasocial.carm.es/-/subvencion-programa-fse-de-asistencia-material-basica</w:t>
        </w:r>
      </w:hyperlink>
      <w:r w:rsidDel="00000000" w:rsidR="00000000" w:rsidRPr="00000000">
        <w:rPr>
          <w:rtl w:val="0"/>
        </w:rPr>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 Matching Lessons and Recommendations from ... - SciSpace, acceso: marzo 24, 2026, </w:t>
      </w:r>
      <w:hyperlink r:id="rId9">
        <w:r w:rsidDel="00000000" w:rsidR="00000000" w:rsidRPr="00000000">
          <w:rPr>
            <w:rFonts w:ascii="Google Sans" w:cs="Google Sans" w:eastAsia="Google Sans" w:hAnsi="Google Sans"/>
            <w:color w:val="0000ee"/>
            <w:sz w:val="24"/>
            <w:szCs w:val="24"/>
            <w:u w:val="single"/>
            <w:rtl w:val="0"/>
          </w:rPr>
          <w:t xml:space="preserve">https://scispace.com/pdf/product-matching-lessons-and-recommendations-from-a-real-51qyozuu3s.pdf</w:t>
        </w:r>
      </w:hyperlink>
      <w:r w:rsidDel="00000000" w:rsidR="00000000" w:rsidRPr="00000000">
        <w:rPr>
          <w:rtl w:val="0"/>
        </w:rPr>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SCAN-NF: a Machine Learning System for Invoice Product ..., acceso: marzo 24, 2026, </w:t>
      </w:r>
      <w:hyperlink r:id="rId10">
        <w:r w:rsidDel="00000000" w:rsidR="00000000" w:rsidRPr="00000000">
          <w:rPr>
            <w:rFonts w:ascii="Google Sans" w:cs="Google Sans" w:eastAsia="Google Sans" w:hAnsi="Google Sans"/>
            <w:color w:val="0000ee"/>
            <w:sz w:val="24"/>
            <w:szCs w:val="24"/>
            <w:u w:val="single"/>
            <w:rtl w:val="0"/>
          </w:rPr>
          <w:t xml:space="preserve">https://repositorio.unb.br/bitstream/10482/49799/1/DiegoSantosDaSilva_DISSERT.pdf</w:t>
        </w:r>
      </w:hyperlink>
      <w:r w:rsidDel="00000000" w:rsidR="00000000" w:rsidRPr="00000000">
        <w:rPr>
          <w:rtl w:val="0"/>
        </w:rPr>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Hybrid TF–IDF and SBERT Approach for Enhanced Text ..., acceso: marzo 24, 2026, </w:t>
      </w:r>
      <w:hyperlink r:id="rId11">
        <w:r w:rsidDel="00000000" w:rsidR="00000000" w:rsidRPr="00000000">
          <w:rPr>
            <w:rFonts w:ascii="Google Sans" w:cs="Google Sans" w:eastAsia="Google Sans" w:hAnsi="Google Sans"/>
            <w:color w:val="0000ee"/>
            <w:sz w:val="24"/>
            <w:szCs w:val="24"/>
            <w:u w:val="single"/>
            <w:rtl w:val="0"/>
          </w:rPr>
          <w:t xml:space="preserve">https://www.preprints.org/manuscript/202510.2427</w:t>
        </w:r>
      </w:hyperlink>
      <w:r w:rsidDel="00000000" w:rsidR="00000000" w:rsidRPr="00000000">
        <w:rPr>
          <w:rtl w:val="0"/>
        </w:rPr>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Transformers Are Revolutionizing Entity ... - CEUR-WS.org, acceso: marzo 24, 2026, </w:t>
      </w:r>
      <w:hyperlink r:id="rId12">
        <w:r w:rsidDel="00000000" w:rsidR="00000000" w:rsidRPr="00000000">
          <w:rPr>
            <w:rFonts w:ascii="Google Sans" w:cs="Google Sans" w:eastAsia="Google Sans" w:hAnsi="Google Sans"/>
            <w:color w:val="0000ee"/>
            <w:sz w:val="24"/>
            <w:szCs w:val="24"/>
            <w:u w:val="single"/>
            <w:rtl w:val="0"/>
          </w:rPr>
          <w:t xml:space="preserve">https://ceur-ws.org/Vol-3741/paper55.pdf</w:t>
        </w:r>
      </w:hyperlink>
      <w:r w:rsidDel="00000000" w:rsidR="00000000" w:rsidRPr="00000000">
        <w:rPr>
          <w:rtl w:val="0"/>
        </w:rPr>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Transformers Are Revolutionizing Entity Matching - SEBD 2024, acceso: marzo 24, 2026, </w:t>
      </w:r>
      <w:hyperlink r:id="rId13">
        <w:r w:rsidDel="00000000" w:rsidR="00000000" w:rsidRPr="00000000">
          <w:rPr>
            <w:rFonts w:ascii="Google Sans" w:cs="Google Sans" w:eastAsia="Google Sans" w:hAnsi="Google Sans"/>
            <w:color w:val="0000ee"/>
            <w:sz w:val="24"/>
            <w:szCs w:val="24"/>
            <w:u w:val="single"/>
            <w:rtl w:val="0"/>
          </w:rPr>
          <w:t xml:space="preserve">https://sebd2024.unica.it/papers/paper55.pdf</w:t>
        </w:r>
      </w:hyperlink>
      <w:r w:rsidDel="00000000" w:rsidR="00000000" w:rsidRPr="00000000">
        <w:rPr>
          <w:rtl w:val="0"/>
        </w:rPr>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Programa del Fondo Social Europeo Plus de Asistencia Material ..., acceso: marzo 24, 2026, </w:t>
      </w:r>
      <w:hyperlink r:id="rId14">
        <w:r w:rsidDel="00000000" w:rsidR="00000000" w:rsidRPr="00000000">
          <w:rPr>
            <w:rFonts w:ascii="Google Sans" w:cs="Google Sans" w:eastAsia="Google Sans" w:hAnsi="Google Sans"/>
            <w:color w:val="0000ee"/>
            <w:sz w:val="24"/>
            <w:szCs w:val="24"/>
            <w:u w:val="single"/>
            <w:rtl w:val="0"/>
          </w:rPr>
          <w:t xml:space="preserve">https://laadministracionaldia.inap.es/noticia.asp?id=1254299</w:t>
        </w:r>
      </w:hyperlink>
      <w:r w:rsidDel="00000000" w:rsidR="00000000" w:rsidRPr="00000000">
        <w:rPr>
          <w:rtl w:val="0"/>
        </w:rPr>
      </w:r>
    </w:p>
    <w:p w:rsidR="00000000" w:rsidDel="00000000" w:rsidP="00000000" w:rsidRDefault="00000000" w:rsidRPr="00000000" w14:paraId="000000C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Fashion Product Entity Matching - UT Student Theses, acceso: marzo 24, 2026, </w:t>
      </w:r>
      <w:hyperlink r:id="rId15">
        <w:r w:rsidDel="00000000" w:rsidR="00000000" w:rsidRPr="00000000">
          <w:rPr>
            <w:rFonts w:ascii="Google Sans" w:cs="Google Sans" w:eastAsia="Google Sans" w:hAnsi="Google Sans"/>
            <w:color w:val="0000ee"/>
            <w:sz w:val="24"/>
            <w:szCs w:val="24"/>
            <w:u w:val="single"/>
            <w:rtl w:val="0"/>
          </w:rPr>
          <w:t xml:space="preserve">https://essay.utwente.nl/fileshare/file/72275/Jundt_MA_EEMCS.pdf</w:t>
        </w:r>
      </w:hyperlink>
      <w:r w:rsidDel="00000000" w:rsidR="00000000" w:rsidRPr="00000000">
        <w:rPr>
          <w:rtl w:val="0"/>
        </w:rPr>
      </w:r>
    </w:p>
    <w:p w:rsidR="00000000" w:rsidDel="00000000" w:rsidP="00000000" w:rsidRDefault="00000000" w:rsidRPr="00000000" w14:paraId="000000D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for Document Analysis in 2026 - Tested &amp; Ranked | Mixpeek, acceso: marzo 24, 2026, </w:t>
      </w:r>
      <w:hyperlink r:id="rId16">
        <w:r w:rsidDel="00000000" w:rsidR="00000000" w:rsidRPr="00000000">
          <w:rPr>
            <w:rFonts w:ascii="Google Sans" w:cs="Google Sans" w:eastAsia="Google Sans" w:hAnsi="Google Sans"/>
            <w:color w:val="0000ee"/>
            <w:sz w:val="24"/>
            <w:szCs w:val="24"/>
            <w:u w:val="single"/>
            <w:rtl w:val="0"/>
          </w:rPr>
          <w:t xml:space="preserve">https://mixpeek.com/curated-lists/best-ai-for-document-analysis</w:t>
        </w:r>
      </w:hyperlink>
      <w:r w:rsidDel="00000000" w:rsidR="00000000" w:rsidRPr="00000000">
        <w:rPr>
          <w:rtl w:val="0"/>
        </w:rPr>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AWS Textract vs Azure Document Intelligence: A Deep Dive - Sparkco, acceso: marzo 24, 2026, </w:t>
      </w:r>
      <w:hyperlink r:id="rId17">
        <w:r w:rsidDel="00000000" w:rsidR="00000000" w:rsidRPr="00000000">
          <w:rPr>
            <w:rFonts w:ascii="Google Sans" w:cs="Google Sans" w:eastAsia="Google Sans" w:hAnsi="Google Sans"/>
            <w:color w:val="0000ee"/>
            <w:sz w:val="24"/>
            <w:szCs w:val="24"/>
            <w:u w:val="single"/>
            <w:rtl w:val="0"/>
          </w:rPr>
          <w:t xml:space="preserve">https://sparkco.ai/blog/aws-textract-vs-azure-document-intelligence-a-deep-dive</w:t>
        </w:r>
      </w:hyperlink>
      <w:r w:rsidDel="00000000" w:rsidR="00000000" w:rsidRPr="00000000">
        <w:rPr>
          <w:rtl w:val="0"/>
        </w:rPr>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Short text classification using TF-IDF features and fast text learner - CEUR-WS.org, acceso: marzo 24, 2026, </w:t>
      </w:r>
      <w:hyperlink r:id="rId18">
        <w:r w:rsidDel="00000000" w:rsidR="00000000" w:rsidRPr="00000000">
          <w:rPr>
            <w:rFonts w:ascii="Google Sans" w:cs="Google Sans" w:eastAsia="Google Sans" w:hAnsi="Google Sans"/>
            <w:color w:val="0000ee"/>
            <w:sz w:val="24"/>
            <w:szCs w:val="24"/>
            <w:u w:val="single"/>
            <w:rtl w:val="0"/>
          </w:rPr>
          <w:t xml:space="preserve">https://ceur-ws.org/Vol-3181/paper59.pdf</w:t>
        </w:r>
      </w:hyperlink>
      <w:r w:rsidDel="00000000" w:rsidR="00000000" w:rsidRPr="00000000">
        <w:rPr>
          <w:rtl w:val="0"/>
        </w:rPr>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Text-Based Product Matching - Semi-Supervised Clustering Approach - arXiv, acceso: marzo 24, 2026, </w:t>
      </w:r>
      <w:hyperlink r:id="rId19">
        <w:r w:rsidDel="00000000" w:rsidR="00000000" w:rsidRPr="00000000">
          <w:rPr>
            <w:rFonts w:ascii="Google Sans" w:cs="Google Sans" w:eastAsia="Google Sans" w:hAnsi="Google Sans"/>
            <w:color w:val="0000ee"/>
            <w:sz w:val="24"/>
            <w:szCs w:val="24"/>
            <w:u w:val="single"/>
            <w:rtl w:val="0"/>
          </w:rPr>
          <w:t xml:space="preserve">https://arxiv.org/html/2402.10091v1</w:t>
        </w:r>
      </w:hyperlink>
      <w:r w:rsidDel="00000000" w:rsidR="00000000" w:rsidRPr="00000000">
        <w:rPr>
          <w:rtl w:val="0"/>
        </w:rPr>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Enhanced Online product similarity classification using description and Images Sureshkumar Durairaj - NORMA@NCI Library, acceso: marzo 24, 2026, </w:t>
      </w:r>
      <w:hyperlink r:id="rId20">
        <w:r w:rsidDel="00000000" w:rsidR="00000000" w:rsidRPr="00000000">
          <w:rPr>
            <w:rFonts w:ascii="Google Sans" w:cs="Google Sans" w:eastAsia="Google Sans" w:hAnsi="Google Sans"/>
            <w:color w:val="0000ee"/>
            <w:sz w:val="24"/>
            <w:szCs w:val="24"/>
            <w:u w:val="single"/>
            <w:rtl w:val="0"/>
          </w:rPr>
          <w:t xml:space="preserve">https://norma.ncirl.ie/7183/1/sureshkumardurairaj.pdf</w:t>
        </w:r>
      </w:hyperlink>
      <w:r w:rsidDel="00000000" w:rsidR="00000000" w:rsidRPr="00000000">
        <w:rPr>
          <w:rtl w:val="0"/>
        </w:rPr>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Best Invoice Data Extraction Software of 2026, acceso: marzo 24, 2026, </w:t>
      </w:r>
      <w:hyperlink r:id="rId21">
        <w:r w:rsidDel="00000000" w:rsidR="00000000" w:rsidRPr="00000000">
          <w:rPr>
            <w:rFonts w:ascii="Google Sans" w:cs="Google Sans" w:eastAsia="Google Sans" w:hAnsi="Google Sans"/>
            <w:color w:val="0000ee"/>
            <w:sz w:val="24"/>
            <w:szCs w:val="24"/>
            <w:u w:val="single"/>
            <w:rtl w:val="0"/>
          </w:rPr>
          <w:t xml:space="preserve">https://gitnux.org/best/invoice-data-extraction-software/</w:t>
        </w:r>
      </w:hyperlink>
      <w:r w:rsidDel="00000000" w:rsidR="00000000" w:rsidRPr="00000000">
        <w:rPr>
          <w:rtl w:val="0"/>
        </w:rPr>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AWS Textract vs Google, Azure, and GPT-4o: Invoice Extraction ..., acceso: marzo 24, 2026, </w:t>
      </w:r>
      <w:hyperlink r:id="rId22">
        <w:r w:rsidDel="00000000" w:rsidR="00000000" w:rsidRPr="00000000">
          <w:rPr>
            <w:rFonts w:ascii="Google Sans" w:cs="Google Sans" w:eastAsia="Google Sans" w:hAnsi="Google Sans"/>
            <w:color w:val="0000ee"/>
            <w:sz w:val="24"/>
            <w:szCs w:val="24"/>
            <w:u w:val="single"/>
            <w:rtl w:val="0"/>
          </w:rPr>
          <w:t xml:space="preserve">https://www.businesswaretech.com/blog/research-best-ai-services-for-automatic-invoice-processing</w:t>
        </w:r>
      </w:hyperlink>
      <w:r w:rsidDel="00000000" w:rsidR="00000000" w:rsidRPr="00000000">
        <w:rPr>
          <w:rtl w:val="0"/>
        </w:rPr>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Transformer and Pre-Transformer Model-Based Sentiment Prediction with Various Embeddings: A Case Study on Amazon Reviews - PMC, acceso: marzo 24, 2026, </w:t>
      </w:r>
      <w:hyperlink r:id="rId23">
        <w:r w:rsidDel="00000000" w:rsidR="00000000" w:rsidRPr="00000000">
          <w:rPr>
            <w:rFonts w:ascii="Google Sans" w:cs="Google Sans" w:eastAsia="Google Sans" w:hAnsi="Google Sans"/>
            <w:color w:val="0000ee"/>
            <w:sz w:val="24"/>
            <w:szCs w:val="24"/>
            <w:u w:val="single"/>
            <w:rtl w:val="0"/>
          </w:rPr>
          <w:t xml:space="preserve">https://pmc.ncbi.nlm.nih.gov/articles/PMC12731383/</w:t>
        </w:r>
      </w:hyperlink>
      <w:r w:rsidDel="00000000" w:rsidR="00000000" w:rsidRPr="00000000">
        <w:rPr>
          <w:rtl w:val="0"/>
        </w:rPr>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Embeddings vs TF-IDF vs Bag-of-Words: Which Works Better in Scikit-learn?, acceso: marzo 24, 2026, </w:t>
      </w:r>
      <w:hyperlink r:id="rId24">
        <w:r w:rsidDel="00000000" w:rsidR="00000000" w:rsidRPr="00000000">
          <w:rPr>
            <w:rFonts w:ascii="Google Sans" w:cs="Google Sans" w:eastAsia="Google Sans" w:hAnsi="Google Sans"/>
            <w:color w:val="0000ee"/>
            <w:sz w:val="24"/>
            <w:szCs w:val="24"/>
            <w:u w:val="single"/>
            <w:rtl w:val="0"/>
          </w:rPr>
          <w:t xml:space="preserve">https://machinelearningmastery.com/llm-embeddings-vs-tf-idf-vs-bag-of-words-which-works-better-in-scikit-learn/</w:t>
        </w:r>
      </w:hyperlink>
      <w:r w:rsidDel="00000000" w:rsidR="00000000" w:rsidRPr="00000000">
        <w:rPr>
          <w:rtl w:val="0"/>
        </w:rPr>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for documents classification of financial documents with focus on non-invoice - Diva-Portal.org, acceso: marzo 24, 2026, </w:t>
      </w:r>
      <w:hyperlink r:id="rId25">
        <w:r w:rsidDel="00000000" w:rsidR="00000000" w:rsidRPr="00000000">
          <w:rPr>
            <w:rFonts w:ascii="Google Sans" w:cs="Google Sans" w:eastAsia="Google Sans" w:hAnsi="Google Sans"/>
            <w:color w:val="0000ee"/>
            <w:sz w:val="24"/>
            <w:szCs w:val="24"/>
            <w:u w:val="single"/>
            <w:rtl w:val="0"/>
          </w:rPr>
          <w:t xml:space="preserve">https://www.diva-portal.org/smash/get/diva2:1726109/FULLTEXT01.pdf</w:t>
        </w:r>
      </w:hyperlink>
      <w:r w:rsidDel="00000000" w:rsidR="00000000" w:rsidRPr="00000000">
        <w:rPr>
          <w:rtl w:val="0"/>
        </w:rPr>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Popular Embedding Models: Choosing the Right One for Your Use Case, acceso: marzo 24, 2026, </w:t>
      </w:r>
      <w:hyperlink r:id="rId26">
        <w:r w:rsidDel="00000000" w:rsidR="00000000" w:rsidRPr="00000000">
          <w:rPr>
            <w:rFonts w:ascii="Google Sans" w:cs="Google Sans" w:eastAsia="Google Sans" w:hAnsi="Google Sans"/>
            <w:color w:val="0000ee"/>
            <w:sz w:val="24"/>
            <w:szCs w:val="24"/>
            <w:u w:val="single"/>
            <w:rtl w:val="0"/>
          </w:rPr>
          <w:t xml:space="preserve">https://dev.to/simplr_sh/comparing-popular-embedding-models-choosing-the-right-one-for-your-use-case-43p1</w:t>
        </w:r>
      </w:hyperlink>
      <w:r w:rsidDel="00000000" w:rsidR="00000000" w:rsidRPr="00000000">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Transformer and Pre-Transformer Model-Based Sentiment Prediction with Various Embeddings: A Case Study on Amazon Reviews - ResearchGate, acceso: marzo 24, 2026, </w:t>
      </w:r>
      <w:hyperlink r:id="rId27">
        <w:r w:rsidDel="00000000" w:rsidR="00000000" w:rsidRPr="00000000">
          <w:rPr>
            <w:rFonts w:ascii="Google Sans" w:cs="Google Sans" w:eastAsia="Google Sans" w:hAnsi="Google Sans"/>
            <w:color w:val="0000ee"/>
            <w:sz w:val="24"/>
            <w:szCs w:val="24"/>
            <w:u w:val="single"/>
            <w:rtl w:val="0"/>
          </w:rPr>
          <w:t xml:space="preserve">https://www.researchgate.net/publication/398044762_Transformer_and_Pre-Transformer_Model-Based_Sentiment_Prediction_with_Various_Embeddings_A_Case_Study_on_Amazon_Reviews</w:t>
        </w:r>
      </w:hyperlink>
      <w:r w:rsidDel="00000000" w:rsidR="00000000" w:rsidRPr="00000000">
        <w:rPr>
          <w:rtl w:val="0"/>
        </w:rPr>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Choosing the best architecture for your text classification task - Toloka AI, acceso: marzo 24, 2026, </w:t>
      </w:r>
      <w:hyperlink r:id="rId28">
        <w:r w:rsidDel="00000000" w:rsidR="00000000" w:rsidRPr="00000000">
          <w:rPr>
            <w:rFonts w:ascii="Google Sans" w:cs="Google Sans" w:eastAsia="Google Sans" w:hAnsi="Google Sans"/>
            <w:color w:val="0000ee"/>
            <w:sz w:val="24"/>
            <w:szCs w:val="24"/>
            <w:u w:val="single"/>
            <w:rtl w:val="0"/>
          </w:rPr>
          <w:t xml:space="preserve">https://toloka.ai/blog/choosing-architecture-for-text-classification/</w:t>
        </w:r>
      </w:hyperlink>
      <w:r w:rsidDel="00000000" w:rsidR="00000000" w:rsidRPr="00000000">
        <w:rPr>
          <w:rtl w:val="0"/>
        </w:rPr>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 product similarity in e-commerce using a supervised approach - Medium, acceso: marzo 24, 2026, </w:t>
      </w:r>
      <w:hyperlink r:id="rId29">
        <w:r w:rsidDel="00000000" w:rsidR="00000000" w:rsidRPr="00000000">
          <w:rPr>
            <w:rFonts w:ascii="Google Sans" w:cs="Google Sans" w:eastAsia="Google Sans" w:hAnsi="Google Sans"/>
            <w:color w:val="0000ee"/>
            <w:sz w:val="24"/>
            <w:szCs w:val="24"/>
            <w:u w:val="single"/>
            <w:rtl w:val="0"/>
          </w:rPr>
          <w:t xml:space="preserve">https://medium.com/data-science/learning-product-similarity-in-e-commerce-using-a-supervised-approach-525d734afd99</w:t>
        </w:r>
      </w:hyperlink>
      <w:r w:rsidDel="00000000" w:rsidR="00000000" w:rsidRPr="00000000">
        <w:rPr>
          <w:rtl w:val="0"/>
        </w:rPr>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Sentence similarity in BERT, SBERT, Ditto and SupCon on match and... - ResearchGate, acceso: marzo 24, 2026, </w:t>
      </w:r>
      <w:hyperlink r:id="rId30">
        <w:r w:rsidDel="00000000" w:rsidR="00000000" w:rsidRPr="00000000">
          <w:rPr>
            <w:rFonts w:ascii="Google Sans" w:cs="Google Sans" w:eastAsia="Google Sans" w:hAnsi="Google Sans"/>
            <w:color w:val="0000ee"/>
            <w:sz w:val="24"/>
            <w:szCs w:val="24"/>
            <w:u w:val="single"/>
            <w:rtl w:val="0"/>
          </w:rPr>
          <w:t xml:space="preserve">https://www.researchgate.net/figure/Sentence-similarity-in-BERT-SBERT-Ditto-and-SupCon-on-match-and-non-match-records_fig15_376037248</w:t>
        </w:r>
      </w:hyperlink>
      <w:r w:rsidDel="00000000" w:rsidR="00000000" w:rsidRPr="00000000">
        <w:rPr>
          <w:rtl w:val="0"/>
        </w:rPr>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Entity Matching with Pre-Trained Language Models - arXiv, acceso: marzo 24, 2026, </w:t>
      </w:r>
      <w:hyperlink r:id="rId31">
        <w:r w:rsidDel="00000000" w:rsidR="00000000" w:rsidRPr="00000000">
          <w:rPr>
            <w:rFonts w:ascii="Google Sans" w:cs="Google Sans" w:eastAsia="Google Sans" w:hAnsi="Google Sans"/>
            <w:color w:val="0000ee"/>
            <w:sz w:val="24"/>
            <w:szCs w:val="24"/>
            <w:u w:val="single"/>
            <w:rtl w:val="0"/>
          </w:rPr>
          <w:t xml:space="preserve">https://arxiv.org/pdf/2004.00584</w:t>
        </w:r>
      </w:hyperlink>
      <w:r w:rsidDel="00000000" w:rsidR="00000000" w:rsidRPr="00000000">
        <w:rPr>
          <w:rtl w:val="0"/>
        </w:rPr>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Entity Matching with Pre-Trained Language Models | by Megagon Labs - Medium, acceso: marzo 24, 2026, </w:t>
      </w:r>
      <w:hyperlink r:id="rId32">
        <w:r w:rsidDel="00000000" w:rsidR="00000000" w:rsidRPr="00000000">
          <w:rPr>
            <w:rFonts w:ascii="Google Sans" w:cs="Google Sans" w:eastAsia="Google Sans" w:hAnsi="Google Sans"/>
            <w:color w:val="0000ee"/>
            <w:sz w:val="24"/>
            <w:szCs w:val="24"/>
            <w:u w:val="single"/>
            <w:rtl w:val="0"/>
          </w:rPr>
          <w:t xml:space="preserve">https://megagonlabs.medium.com/deep-entity-matching-with-pre-trained-language-models-f4b42f1d1759</w:t>
        </w:r>
      </w:hyperlink>
      <w:r w:rsidDel="00000000" w:rsidR="00000000" w:rsidRPr="00000000">
        <w:rPr>
          <w:rtl w:val="0"/>
        </w:rPr>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with Entity Resolution: Retail Product Classification for Aggregated Insights, acceso: marzo 24, 2026, </w:t>
      </w:r>
      <w:hyperlink r:id="rId33">
        <w:r w:rsidDel="00000000" w:rsidR="00000000" w:rsidRPr="00000000">
          <w:rPr>
            <w:rFonts w:ascii="Google Sans" w:cs="Google Sans" w:eastAsia="Google Sans" w:hAnsi="Google Sans"/>
            <w:color w:val="0000ee"/>
            <w:sz w:val="24"/>
            <w:szCs w:val="24"/>
            <w:u w:val="single"/>
            <w:rtl w:val="0"/>
          </w:rPr>
          <w:t xml:space="preserve">https://www.snowflake.com/en/developers/guides/getting-started-with-entity-resolution-retail-product-classification-for-aggregated-insights/</w:t>
        </w:r>
      </w:hyperlink>
      <w:r w:rsidDel="00000000" w:rsidR="00000000" w:rsidRPr="00000000">
        <w:rPr>
          <w:rtl w:val="0"/>
        </w:rPr>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 Entity Matching by Leveraging Tabular Data by Ali Naeim Abadi, acceso: marzo 24, 2026, </w:t>
      </w:r>
      <w:hyperlink r:id="rId34">
        <w:r w:rsidDel="00000000" w:rsidR="00000000" w:rsidRPr="00000000">
          <w:rPr>
            <w:rFonts w:ascii="Google Sans" w:cs="Google Sans" w:eastAsia="Google Sans" w:hAnsi="Google Sans"/>
            <w:color w:val="0000ee"/>
            <w:sz w:val="24"/>
            <w:szCs w:val="24"/>
            <w:u w:val="single"/>
            <w:rtl w:val="0"/>
          </w:rPr>
          <w:t xml:space="preserve">https://ualberta.scholaris.ca/bitstreams/f80096de-0e85-4013-a316-612b506b5cc6/download</w:t>
        </w:r>
      </w:hyperlink>
      <w:r w:rsidDel="00000000" w:rsidR="00000000" w:rsidRPr="00000000">
        <w:rPr>
          <w:rtl w:val="0"/>
        </w:rPr>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Bag-of-Words Approach for Information Extraction from Electricity Invoices - MDPI, acceso: marzo 24, 2026, </w:t>
      </w:r>
      <w:hyperlink r:id="rId35">
        <w:r w:rsidDel="00000000" w:rsidR="00000000" w:rsidRPr="00000000">
          <w:rPr>
            <w:rFonts w:ascii="Google Sans" w:cs="Google Sans" w:eastAsia="Google Sans" w:hAnsi="Google Sans"/>
            <w:color w:val="0000ee"/>
            <w:sz w:val="24"/>
            <w:szCs w:val="24"/>
            <w:u w:val="single"/>
            <w:rtl w:val="0"/>
          </w:rPr>
          <w:t xml:space="preserve">https://www.mdpi.com/2673-2688/5/4/91</w:t>
        </w:r>
      </w:hyperlink>
      <w:r w:rsidDel="00000000" w:rsidR="00000000" w:rsidRPr="00000000">
        <w:rPr>
          <w:rtl w:val="0"/>
        </w:rPr>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Give Me 15 Minutes and I will Show You How to Clean Your Messiest Dataset - Medium, acceso: marzo 24, 2026, </w:t>
      </w:r>
      <w:hyperlink r:id="rId36">
        <w:r w:rsidDel="00000000" w:rsidR="00000000" w:rsidRPr="00000000">
          <w:rPr>
            <w:rFonts w:ascii="Google Sans" w:cs="Google Sans" w:eastAsia="Google Sans" w:hAnsi="Google Sans"/>
            <w:color w:val="0000ee"/>
            <w:sz w:val="24"/>
            <w:szCs w:val="24"/>
            <w:u w:val="single"/>
            <w:rtl w:val="0"/>
          </w:rPr>
          <w:t xml:space="preserve">https://medium.com/@BIWave/give-me-15-minutes-and-i-will-show-you-how-to-clean-your-messiest-dataset-2212b15395ad</w:t>
        </w:r>
      </w:hyperlink>
      <w:r w:rsidDel="00000000" w:rsidR="00000000" w:rsidRPr="00000000">
        <w:rPr>
          <w:rtl w:val="0"/>
        </w:rPr>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string fuzzy match methods : r/learnpython - Reddit, acceso: marzo 24, 2026, </w:t>
      </w:r>
      <w:hyperlink r:id="rId37">
        <w:r w:rsidDel="00000000" w:rsidR="00000000" w:rsidRPr="00000000">
          <w:rPr>
            <w:rFonts w:ascii="Google Sans" w:cs="Google Sans" w:eastAsia="Google Sans" w:hAnsi="Google Sans"/>
            <w:color w:val="0000ee"/>
            <w:sz w:val="24"/>
            <w:szCs w:val="24"/>
            <w:u w:val="single"/>
            <w:rtl w:val="0"/>
          </w:rPr>
          <w:t xml:space="preserve">https://www.reddit.com/r/learnpython/comments/1gjouib/string_fuzzy_match_methods/</w:t>
        </w:r>
      </w:hyperlink>
      <w:r w:rsidDel="00000000" w:rsidR="00000000" w:rsidRPr="00000000">
        <w:rPr>
          <w:rtl w:val="0"/>
        </w:rPr>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Compare Amazon Textract vs. Azure AI Document Intelligence - G2, acceso: marzo 24, 2026, </w:t>
      </w:r>
      <w:hyperlink r:id="rId38">
        <w:r w:rsidDel="00000000" w:rsidR="00000000" w:rsidRPr="00000000">
          <w:rPr>
            <w:rFonts w:ascii="Google Sans" w:cs="Google Sans" w:eastAsia="Google Sans" w:hAnsi="Google Sans"/>
            <w:color w:val="0000ee"/>
            <w:sz w:val="24"/>
            <w:szCs w:val="24"/>
            <w:u w:val="single"/>
            <w:rtl w:val="0"/>
          </w:rPr>
          <w:t xml:space="preserve">https://www.g2.com/compare/amazon-textract-vs-azure-ai-document-intelligence</w:t>
        </w:r>
      </w:hyperlink>
      <w:r w:rsidDel="00000000" w:rsidR="00000000" w:rsidRPr="00000000">
        <w:rPr>
          <w:rtl w:val="0"/>
        </w:rPr>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AI Models Invoice Processing Benchmark - Businessware Technologies, acceso: marzo 24, 2026, </w:t>
      </w:r>
      <w:hyperlink r:id="rId39">
        <w:r w:rsidDel="00000000" w:rsidR="00000000" w:rsidRPr="00000000">
          <w:rPr>
            <w:rFonts w:ascii="Google Sans" w:cs="Google Sans" w:eastAsia="Google Sans" w:hAnsi="Google Sans"/>
            <w:color w:val="0000ee"/>
            <w:sz w:val="24"/>
            <w:szCs w:val="24"/>
            <w:u w:val="single"/>
            <w:rtl w:val="0"/>
          </w:rPr>
          <w:t xml:space="preserve">https://www.businesswaretech.com/blog/research-ai-models-invoice-processing-benchmark</w:t>
        </w:r>
      </w:hyperlink>
      <w:r w:rsidDel="00000000" w:rsidR="00000000" w:rsidRPr="00000000">
        <w:rPr>
          <w:rtl w:val="0"/>
        </w:rPr>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12 Best OCR Software for Invoice Processing in 2026 | Red Brick Labs Blog, acceso: marzo 24, 2026, </w:t>
      </w:r>
      <w:hyperlink r:id="rId40">
        <w:r w:rsidDel="00000000" w:rsidR="00000000" w:rsidRPr="00000000">
          <w:rPr>
            <w:rFonts w:ascii="Google Sans" w:cs="Google Sans" w:eastAsia="Google Sans" w:hAnsi="Google Sans"/>
            <w:color w:val="0000ee"/>
            <w:sz w:val="24"/>
            <w:szCs w:val="24"/>
            <w:u w:val="single"/>
            <w:rtl w:val="0"/>
          </w:rPr>
          <w:t xml:space="preserve">https://www.redbricklabs.io/blog/best-ocr-software-for-invoice-processing</w:t>
        </w:r>
      </w:hyperlink>
      <w:r w:rsidDel="00000000" w:rsidR="00000000" w:rsidRPr="00000000">
        <w:rPr>
          <w:rtl w:val="0"/>
        </w:rPr>
      </w:r>
    </w:p>
    <w:p w:rsidR="00000000" w:rsidDel="00000000" w:rsidP="00000000" w:rsidRDefault="00000000" w:rsidRPr="00000000" w14:paraId="000000E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Invoice Data Extraction Software (2026): 12 AI-Powered Tools Compared - Tailride, acceso: marzo 24, 2026, </w:t>
      </w:r>
      <w:hyperlink r:id="rId41">
        <w:r w:rsidDel="00000000" w:rsidR="00000000" w:rsidRPr="00000000">
          <w:rPr>
            <w:rFonts w:ascii="Google Sans" w:cs="Google Sans" w:eastAsia="Google Sans" w:hAnsi="Google Sans"/>
            <w:color w:val="0000ee"/>
            <w:sz w:val="24"/>
            <w:szCs w:val="24"/>
            <w:u w:val="single"/>
            <w:rtl w:val="0"/>
          </w:rPr>
          <w:t xml:space="preserve">https://tailride.so/blog/invoice-data-extraction-software</w:t>
        </w:r>
      </w:hyperlink>
      <w:r w:rsidDel="00000000" w:rsidR="00000000" w:rsidRPr="00000000">
        <w:rPr>
          <w:rtl w:val="0"/>
        </w:rPr>
      </w:r>
    </w:p>
    <w:p w:rsidR="00000000" w:rsidDel="00000000" w:rsidP="00000000" w:rsidRDefault="00000000" w:rsidRPr="00000000" w14:paraId="000000E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BERT-based similarity learning for product matching - ResearchGate, acceso: marzo 24, 2026, </w:t>
      </w:r>
      <w:hyperlink r:id="rId42">
        <w:r w:rsidDel="00000000" w:rsidR="00000000" w:rsidRPr="00000000">
          <w:rPr>
            <w:rFonts w:ascii="Google Sans" w:cs="Google Sans" w:eastAsia="Google Sans" w:hAnsi="Google Sans"/>
            <w:color w:val="0000ee"/>
            <w:sz w:val="24"/>
            <w:szCs w:val="24"/>
            <w:u w:val="single"/>
            <w:rtl w:val="0"/>
          </w:rPr>
          <w:t xml:space="preserve">https://www.researchgate.net/publication/350871039_BERT-based_similarity_learning_for_product_matching</w:t>
        </w:r>
      </w:hyperlink>
      <w:r w:rsidDel="00000000" w:rsidR="00000000" w:rsidRPr="00000000">
        <w:rPr>
          <w:rtl w:val="0"/>
        </w:rPr>
      </w:r>
    </w:p>
    <w:p w:rsidR="00000000" w:rsidDel="00000000" w:rsidP="00000000" w:rsidRDefault="00000000" w:rsidRPr="00000000" w14:paraId="000000E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BERT-based similarity learning for product matching - ACL Anthology, acceso: marzo 24, 2026, </w:t>
      </w:r>
      <w:hyperlink r:id="rId43">
        <w:r w:rsidDel="00000000" w:rsidR="00000000" w:rsidRPr="00000000">
          <w:rPr>
            <w:rFonts w:ascii="Google Sans" w:cs="Google Sans" w:eastAsia="Google Sans" w:hAnsi="Google Sans"/>
            <w:color w:val="0000ee"/>
            <w:sz w:val="24"/>
            <w:szCs w:val="24"/>
            <w:u w:val="single"/>
            <w:rtl w:val="0"/>
          </w:rPr>
          <w:t xml:space="preserve">https://aclanthology.org/2020.ecomnlp-1.7.pdf</w:t>
        </w:r>
      </w:hyperlink>
      <w:r w:rsidDel="00000000" w:rsidR="00000000" w:rsidRPr="00000000">
        <w:rPr>
          <w:rtl w:val="0"/>
        </w:rPr>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Orden TES/106/2024, de 8 de febrero, por la que se determinan los gastos subvencionables por el Fondo Social Europeo Plus durante el período de programación 2021-2027. - BOE.es, acceso: marzo 24, 2026, </w:t>
      </w:r>
      <w:hyperlink r:id="rId44">
        <w:r w:rsidDel="00000000" w:rsidR="00000000" w:rsidRPr="00000000">
          <w:rPr>
            <w:rFonts w:ascii="Google Sans" w:cs="Google Sans" w:eastAsia="Google Sans" w:hAnsi="Google Sans"/>
            <w:color w:val="0000ee"/>
            <w:sz w:val="24"/>
            <w:szCs w:val="24"/>
            <w:u w:val="single"/>
            <w:rtl w:val="0"/>
          </w:rPr>
          <w:t xml:space="preserve">https://www.boe.es/diario_boe/txt.php?id=BOE-A-2024-2661</w:t>
        </w:r>
      </w:hyperlink>
      <w:r w:rsidDel="00000000" w:rsidR="00000000" w:rsidRPr="00000000">
        <w:rPr>
          <w:rtl w:val="0"/>
        </w:rPr>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Programa FSE+ Empleo Juvenil 2021-2027 MANUAL PARA LA GESTIÓN Y JUSTIFICACIÓN DE OPERACIONES APROBADAS - Fundación INCYDE, acceso: marzo 24, 2026, </w:t>
      </w:r>
      <w:hyperlink r:id="rId45">
        <w:r w:rsidDel="00000000" w:rsidR="00000000" w:rsidRPr="00000000">
          <w:rPr>
            <w:rFonts w:ascii="Google Sans" w:cs="Google Sans" w:eastAsia="Google Sans" w:hAnsi="Google Sans"/>
            <w:color w:val="0000ee"/>
            <w:sz w:val="24"/>
            <w:szCs w:val="24"/>
            <w:u w:val="single"/>
            <w:rtl w:val="0"/>
          </w:rPr>
          <w:t xml:space="preserve">https://incyde.org/wp-content/uploads/PEJ_MANUAL-PARA-LA-GESTION-Y-JUSTIFICACION-DE-OPERACIONES-APROBADAS-Ed.02.pdf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dbricklabs.io/blog/best-ocr-software-for-invoice-processing" TargetMode="External"/><Relationship Id="rId20" Type="http://schemas.openxmlformats.org/officeDocument/2006/relationships/hyperlink" Target="https://norma.ncirl.ie/7183/1/sureshkumardurairaj.pdf" TargetMode="External"/><Relationship Id="rId42" Type="http://schemas.openxmlformats.org/officeDocument/2006/relationships/hyperlink" Target="https://www.researchgate.net/publication/350871039_BERT-based_similarity_learning_for_product_matching" TargetMode="External"/><Relationship Id="rId41" Type="http://schemas.openxmlformats.org/officeDocument/2006/relationships/hyperlink" Target="https://tailride.so/blog/invoice-data-extraction-software" TargetMode="External"/><Relationship Id="rId22" Type="http://schemas.openxmlformats.org/officeDocument/2006/relationships/hyperlink" Target="https://www.businesswaretech.com/blog/research-best-ai-services-for-automatic-invoice-processing" TargetMode="External"/><Relationship Id="rId44" Type="http://schemas.openxmlformats.org/officeDocument/2006/relationships/hyperlink" Target="https://www.boe.es/diario_boe/txt.php?id=BOE-A-2024-2661" TargetMode="External"/><Relationship Id="rId21" Type="http://schemas.openxmlformats.org/officeDocument/2006/relationships/hyperlink" Target="https://gitnux.org/best/invoice-data-extraction-software/" TargetMode="External"/><Relationship Id="rId43" Type="http://schemas.openxmlformats.org/officeDocument/2006/relationships/hyperlink" Target="https://aclanthology.org/2020.ecomnlp-1.7.pdf" TargetMode="External"/><Relationship Id="rId24" Type="http://schemas.openxmlformats.org/officeDocument/2006/relationships/hyperlink" Target="https://machinelearningmastery.com/llm-embeddings-vs-tf-idf-vs-bag-of-words-which-works-better-in-scikit-learn/" TargetMode="External"/><Relationship Id="rId23" Type="http://schemas.openxmlformats.org/officeDocument/2006/relationships/hyperlink" Target="https://pmc.ncbi.nlm.nih.gov/articles/PMC12731383/" TargetMode="External"/><Relationship Id="rId45" Type="http://schemas.openxmlformats.org/officeDocument/2006/relationships/hyperlink" Target="https://incyde.org/wp-content/uploads/PEJ_MANUAL-PARA-LA-GESTION-Y-JUSTIFICACION-DE-OPERACIONES-APROBADAS-Ed.02.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cispace.com/pdf/product-matching-lessons-and-recommendations-from-a-real-51qyozuu3s.pdf" TargetMode="External"/><Relationship Id="rId26" Type="http://schemas.openxmlformats.org/officeDocument/2006/relationships/hyperlink" Target="https://dev.to/simplr_sh/comparing-popular-embedding-models-choosing-the-right-one-for-your-use-case-43p1" TargetMode="External"/><Relationship Id="rId25" Type="http://schemas.openxmlformats.org/officeDocument/2006/relationships/hyperlink" Target="https://www.diva-portal.org/smash/get/diva2:1726109/FULLTEXT01.pdf" TargetMode="External"/><Relationship Id="rId28" Type="http://schemas.openxmlformats.org/officeDocument/2006/relationships/hyperlink" Target="https://toloka.ai/blog/choosing-architecture-for-text-classification/" TargetMode="External"/><Relationship Id="rId27" Type="http://schemas.openxmlformats.org/officeDocument/2006/relationships/hyperlink" Target="https://www.researchgate.net/publication/398044762_Transformer_and_Pre-Transformer_Model-Based_Sentiment_Prediction_with_Various_Embeddings_A_Case_Study_on_Amazon_Reviews"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medium.com/data-science/learning-product-similarity-in-e-commerce-using-a-supervised-approach-525d734afd99" TargetMode="External"/><Relationship Id="rId7" Type="http://schemas.openxmlformats.org/officeDocument/2006/relationships/hyperlink" Target="https://sede.carm.es/web/pagina?IDCONTENIDO=4416&amp;IDTIPO=240&amp;RASTRO=c$m40288" TargetMode="External"/><Relationship Id="rId8" Type="http://schemas.openxmlformats.org/officeDocument/2006/relationships/hyperlink" Target="https://murciasocial.carm.es/-/subvencion-programa-fse-de-asistencia-material-basica" TargetMode="External"/><Relationship Id="rId31" Type="http://schemas.openxmlformats.org/officeDocument/2006/relationships/hyperlink" Target="https://arxiv.org/pdf/2004.00584" TargetMode="External"/><Relationship Id="rId30" Type="http://schemas.openxmlformats.org/officeDocument/2006/relationships/hyperlink" Target="https://www.researchgate.net/figure/Sentence-similarity-in-BERT-SBERT-Ditto-and-SupCon-on-match-and-non-match-records_fig15_376037248" TargetMode="External"/><Relationship Id="rId11" Type="http://schemas.openxmlformats.org/officeDocument/2006/relationships/hyperlink" Target="https://www.preprints.org/manuscript/202510.2427" TargetMode="External"/><Relationship Id="rId33" Type="http://schemas.openxmlformats.org/officeDocument/2006/relationships/hyperlink" Target="https://www.snowflake.com/en/developers/guides/getting-started-with-entity-resolution-retail-product-classification-for-aggregated-insights/" TargetMode="External"/><Relationship Id="rId10" Type="http://schemas.openxmlformats.org/officeDocument/2006/relationships/hyperlink" Target="https://repositorio.unb.br/bitstream/10482/49799/1/DiegoSantosDaSilva_DISSERT.pdf" TargetMode="External"/><Relationship Id="rId32" Type="http://schemas.openxmlformats.org/officeDocument/2006/relationships/hyperlink" Target="https://megagonlabs.medium.com/deep-entity-matching-with-pre-trained-language-models-f4b42f1d1759" TargetMode="External"/><Relationship Id="rId13" Type="http://schemas.openxmlformats.org/officeDocument/2006/relationships/hyperlink" Target="https://sebd2024.unica.it/papers/paper55.pdf" TargetMode="External"/><Relationship Id="rId35" Type="http://schemas.openxmlformats.org/officeDocument/2006/relationships/hyperlink" Target="https://www.mdpi.com/2673-2688/5/4/91" TargetMode="External"/><Relationship Id="rId12" Type="http://schemas.openxmlformats.org/officeDocument/2006/relationships/hyperlink" Target="https://ceur-ws.org/Vol-3741/paper55.pdf" TargetMode="External"/><Relationship Id="rId34" Type="http://schemas.openxmlformats.org/officeDocument/2006/relationships/hyperlink" Target="https://ualberta.scholaris.ca/bitstreams/f80096de-0e85-4013-a316-612b506b5cc6/download" TargetMode="External"/><Relationship Id="rId15" Type="http://schemas.openxmlformats.org/officeDocument/2006/relationships/hyperlink" Target="https://essay.utwente.nl/fileshare/file/72275/Jundt_MA_EEMCS.pdf" TargetMode="External"/><Relationship Id="rId37" Type="http://schemas.openxmlformats.org/officeDocument/2006/relationships/hyperlink" Target="https://www.reddit.com/r/learnpython/comments/1gjouib/string_fuzzy_match_methods/" TargetMode="External"/><Relationship Id="rId14" Type="http://schemas.openxmlformats.org/officeDocument/2006/relationships/hyperlink" Target="https://laadministracionaldia.inap.es/noticia.asp?id=1254299" TargetMode="External"/><Relationship Id="rId36" Type="http://schemas.openxmlformats.org/officeDocument/2006/relationships/hyperlink" Target="https://medium.com/@BIWave/give-me-15-minutes-and-i-will-show-you-how-to-clean-your-messiest-dataset-2212b15395ad" TargetMode="External"/><Relationship Id="rId17" Type="http://schemas.openxmlformats.org/officeDocument/2006/relationships/hyperlink" Target="https://sparkco.ai/blog/aws-textract-vs-azure-document-intelligence-a-deep-dive" TargetMode="External"/><Relationship Id="rId39" Type="http://schemas.openxmlformats.org/officeDocument/2006/relationships/hyperlink" Target="https://www.businesswaretech.com/blog/research-ai-models-invoice-processing-benchmark" TargetMode="External"/><Relationship Id="rId16" Type="http://schemas.openxmlformats.org/officeDocument/2006/relationships/hyperlink" Target="https://mixpeek.com/curated-lists/best-ai-for-document-analysis" TargetMode="External"/><Relationship Id="rId38" Type="http://schemas.openxmlformats.org/officeDocument/2006/relationships/hyperlink" Target="https://www.g2.com/compare/amazon-textract-vs-azure-ai-document-intelligence" TargetMode="External"/><Relationship Id="rId19" Type="http://schemas.openxmlformats.org/officeDocument/2006/relationships/hyperlink" Target="https://arxiv.org/html/2402.10091v1" TargetMode="External"/><Relationship Id="rId18" Type="http://schemas.openxmlformats.org/officeDocument/2006/relationships/hyperlink" Target="https://ceur-ws.org/Vol-3181/paper59.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