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20"/>
        </w:rPr>
        <w:t>DIGICOOP-WA+  ·  CIF  ·  HACKATHON NATIONAL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18"/>
        </w:rPr>
        <w:t>Équipe Alpha  ·  Thématique 02 — Scoring microcrédit  ·  Track A</w:t>
      </w:r>
    </w:p>
    <w:p>
      <w:pPr>
        <w:spacing w:before="40" w:after="160"/>
        <w:pBdr>
          <w:bottom w:val="single" w:sz="12" w:space="1" w:color="1A6B5C"/>
        </w:pBdr>
      </w:pPr>
    </w:p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56"/>
        </w:rPr>
        <w:t>DigiScore-WA</w:t>
      </w:r>
    </w:p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32"/>
        </w:rPr>
        <w:t>Cahier des charges complet</w:t>
      </w: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2"/>
        </w:rPr>
        <w:t>Spécification fonctionnelle, technique et organisationnelle — version actualisée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Cible : institutions membres de la CIF  ·  Échantillon d'existant : FUCEC-Togo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20"/>
        </w:rPr>
        <w:t>Score /100 (seuils 40 / 70)  ·  Lomé · Septembre 2026</w:t>
      </w:r>
    </w:p>
    <w:p>
      <w:pPr>
        <w:spacing w:before="40" w:after="160"/>
        <w:pBdr>
          <w:bottom w:val="single" w:sz="12" w:space="1" w:color="1A6B5C"/>
        </w:pBdr>
      </w:pP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Copilote d'éligibilité et de plafond de microcrédit — Agent → Chef d'agence → CIC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1.  Contexte et problématique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2.  Étude de l'existant (échantillon SFD) et besoin CIF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3.  Solution proposée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4.  Différenciation et innovations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5.  Modèle de décision, formules et score /100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6.  Workflows Agent → Chef d'agence → CIC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7.  Architecture technique et intégrabilité SI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8.  Modèle de données (BDD)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9.  Modules et périmètre IN / OUT 72 h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10.  Organisation, ressources, conformité</w:t>
      </w:r>
    </w:p>
    <w:p>
      <w:r>
        <w:br w:type="page"/>
      </w:r>
    </w:p>
    <w:p>
      <w:pPr>
        <w:pStyle w:val="Heading1"/>
      </w:pPr>
      <w:r>
        <w:t>1. Contexte et problématique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Le programme DigiCoop-WA+ de la CIF organise des hackathons nationaux. La Thématique 02 vise le scoring microcrédit adapté aux SFD d'Afrique de l'Ouest.</w:t>
      </w:r>
    </w:p>
    <w:p>
      <w:r>
        <w:rPr>
          <w:rFonts w:ascii="Calibri" w:hAnsi="Calibri" w:eastAsia="Calibri"/>
          <w:b w:val="0"/>
          <w:i/>
          <w:color w:val="1A1A1A"/>
          <w:sz w:val="20"/>
        </w:rPr>
        <w:t>L'analyse s'appuie sur un échantillon terrain (pratiques type FUCEC-Togo). DigiScore-WA est conçu pour l'ensemble des institutions du réseau CIF, pas une seule faîtière.</w:t>
      </w:r>
    </w:p>
    <w:p>
      <w:r>
        <w:rPr>
          <w:rFonts w:ascii="Calibri" w:hAnsi="Calibri" w:eastAsia="Calibri"/>
          <w:b/>
          <w:i w:val="0"/>
          <w:color w:val="1A1A1A"/>
          <w:sz w:val="22"/>
        </w:rPr>
        <w:t>Constats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Instruction manuelle longue (~3 h/dossier) et hétérogène entre agences.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Impayés observés (~8 %) ; risque dès J+1.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Le demandeur doit ouvrir un compte ; l'historique institutionnel existe souvent mais est sous-exploité comme moteur d'éligibilité/plafond.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Cas sans historique interne : crédits ailleurs à prouver par pièces ; cautionnaires au-delà d'un seuil ; contrôles BIC / fiscalité.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Problématique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Comment objectiver éligibilité et plafond à partir du comportement du membre (interne ou preuves externes), sans remplacer la décision humaine, de façon déployable chez les SFD CIF ?</w:t>
            </w:r>
          </w:p>
        </w:tc>
      </w:tr>
    </w:tbl>
    <w:p/>
    <w:p>
      <w:pPr>
        <w:pStyle w:val="Heading1"/>
      </w:pPr>
      <w:r>
        <w:t>2. Étude de l'existant et besoin</w:t>
      </w:r>
    </w:p>
    <w:p>
      <w:pPr>
        <w:pStyle w:val="Heading2"/>
      </w:pPr>
      <w:r>
        <w:t>2.1 Cycle crédit observé (9 composantes)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Composante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Ancrage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Collecte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Questionnaire A–E, preuves N1/N2/N3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 économique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Modèle 6 Q, marché 12 Q, risques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 financière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CAF, RCSD, 6 ratios, trésorerie, patrimoine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Gestion des risques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 familles, matrice P×I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Documents d'octroi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Pièces, BIC, fiscalité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Décision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Scorecard, mémo, comité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Amortissement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Montant / durée / échéancier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Suivi portefeuille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V1–V3, 12 signaux, PAR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Recouvrement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 niveaux</w:t>
            </w:r>
          </w:p>
        </w:tc>
      </w:tr>
    </w:tbl>
    <w:p/>
    <w:p>
      <w:pPr>
        <w:pStyle w:val="Heading2"/>
      </w:pPr>
      <w:r>
        <w:t>2.2 Précisions terrain récentes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Compte membre préalable ; historique interne prioritaire.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Sans historique interne : ouverture de compte + questionnaire crédits ailleurs + upload relevés/carnets ; refus si preuves exigibles absentes.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BIC + situation fiscale « en règle 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Au-delà d'un seuil de montant : cautionnaires évalués (capacité de relais des échéances).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SI : sidecar obligatoire ; ADD-only ; APIs/passerelles en pilote ; perf &gt;1 M clients.</w:t>
      </w:r>
    </w:p>
    <w:p>
      <w:pPr>
        <w:pStyle w:val="Heading1"/>
      </w:pPr>
      <w:r>
        <w:t>3. Solution proposée</w:t>
      </w:r>
    </w:p>
    <w:p>
      <w:r>
        <w:rPr>
          <w:rFonts w:ascii="Calibri" w:hAnsi="Calibri" w:eastAsia="Calibri"/>
          <w:b w:val="0"/>
          <w:i w:val="0"/>
          <w:color w:val="1A1A1A"/>
          <w:sz w:val="22"/>
        </w:rPr>
        <w:t>DigiScore-WA (WA = West Africa) est un copilote — pas un robot d'octroi. Il produit : score /100 explicable, montant éligible (plafond), message métier type crédit télécom, mémo, puis validation humaine.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Contenu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72 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M1 Collecte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Wizard A–E + N1–N3 + upload pièces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Fonctionnel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M2 Analyse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CAF, RCSD, 6 ratios, trésorerie, patrimoine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Fonctionnel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M3 Score &amp; plafond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6 critères /100 + messages + cautions/BIC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Fonctionnel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M4 Mémo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Mémo + fiche comité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Fonctionnel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M5 Décision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Agent → Chef → CIC + amortissement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Fonctionnel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M6 / M7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Suivi PAR &amp; recouvrement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Maquette</w:t>
            </w:r>
          </w:p>
        </w:tc>
      </w:tr>
    </w:tbl>
    <w:p/>
    <w:p>
      <w:pPr>
        <w:pStyle w:val="Heading1"/>
      </w:pPr>
      <w:r>
        <w:t>4. Différenciation et innovations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Éligibilité type crédit télécom : plafond + messages explicites.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Historique membre + voie preuves externes (OCR / qualité photo) si pas d'historique interne.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BIC / fiscalité + cautionnaires scorés au-delà d'un seuil.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Gouvernance Agent → Chef d'agence → CIC avec audit.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ML explicable optionnel (contributions, anomalies, simulateur de résilience) — le ML éclaire, l'humain décide.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1A1A1A"/>
          <w:sz w:val="20"/>
        </w:rPr>
        <w:t>Sidecar intégrable : mapping champs, adapters, tables digiscore_* ADD-only.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Pitch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« DigiScore-WA, c'est le crédit mobile appliqué aux institutions CIF : éligibilité et plafond depuis l'historique (ou preuves externes), score /100, cautions et BIC, décision humaine — sans toucher au transactionnel. »</w:t>
            </w:r>
          </w:p>
        </w:tc>
      </w:tr>
    </w:tbl>
    <w:p/>
    <w:p>
      <w:pPr>
        <w:pStyle w:val="Heading1"/>
      </w:pPr>
      <w:r>
        <w:t>5. Modèle de décision, formules et score /100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5F1" w:val="clear"/>
          </w:tcPr>
          <w:p>
            <w:r>
              <w:rPr>
                <w:rFonts w:ascii="Calibri" w:hAnsi="Calibri" w:eastAsia="Calibri"/>
                <w:b/>
                <w:i w:val="0"/>
                <w:color w:val="1A6B5C"/>
                <w:sz w:val="20"/>
              </w:rPr>
              <w:t xml:space="preserve">Décision encadreurs : </w:t>
            </w: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Score sur 100 (pas 1000). Seuils 40 / 70 — simples pour agents et CIC.</w:t>
            </w:r>
          </w:p>
        </w:tc>
      </w:tr>
    </w:tbl>
    <w:p/>
    <w:p>
      <w:pPr>
        <w:pStyle w:val="Heading2"/>
      </w:pPr>
      <w:r>
        <w:t>5.1 Formules financières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EBE = CA − CMV − Charges_exploitation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CAF = EBE + Produits_financiers + (Revenus_perso − Charges_familiales)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RCSD = CAF / (Dettes_en_cours + Service_credit_sollicité)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Règle RCSD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Norme confort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≥ 150 % (1,50)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Knock-out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&lt; 1,00 → bloque reco auto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Ratio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Formule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Seuil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Marge brute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(Marge_brute/CA)×100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Sectoriel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BN/CA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(RN/CA)×100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Sectoriel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Solvabilité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FP / Total dettes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&gt; 1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Rotation stocks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(Stock_moy×365)/CAMV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Sectoriel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Participation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(FP consol./Actif)×100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&gt; 35 %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Fonds de roulement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Actif circ./Passif circ.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&gt; 150 %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A1A1A"/>
          <w:sz w:val="20"/>
        </w:rPr>
        <w:t>Trésorerie : Solde_mensuel = entrées − sorties ; cumul ≥ 0 chaque mois. Patrimoine : Situation nette = Actifs − Passifs ; 5 signaux d'alerte (érosion CA, marge, créances, dettes fournisseurs, nette en baisse).</w:t>
      </w:r>
    </w:p>
    <w:p>
      <w:pPr>
        <w:pStyle w:val="Heading2"/>
      </w:pPr>
      <w:r>
        <w:t>5.2 Score /100</w:t>
      </w:r>
    </w:p>
    <w:p>
      <w:r>
        <w:rPr>
          <w:rFonts w:ascii="Calibri" w:hAnsi="Calibri" w:eastAsia="Calibri"/>
          <w:b w:val="0"/>
          <w:i w:val="0"/>
          <w:color w:val="1A1A1A"/>
          <w:sz w:val="20"/>
        </w:rPr>
        <w:t>score = Σ (note_i/100) × poids_i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Critère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Poids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 financière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25 %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Capacité de remboursement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20 %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Historique de remboursement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20 %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Risque d'activité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15 %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Garanties (+ qualité cautions)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10 %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Qualité documentaire (+ BIC/fiscal)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10 %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Zone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0 – 40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Risque élevé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Rejet recommandé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41 – 70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Risque moyen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Analyse / CIC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71 – 100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Risque faible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Approbation recommandée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A1A1A"/>
          <w:sz w:val="20"/>
        </w:rPr>
        <w:t>Knock-outs : RCSD &lt; 1 · ESG · incohérence critique · incidents graves · BIC/fiscal exigible manquant · seuil caution sans cautionnaire éligible.</w:t>
      </w:r>
    </w:p>
    <w:p>
      <w:pPr>
        <w:pStyle w:val="Heading2"/>
      </w:pPr>
      <w:r>
        <w:t>5.3 Plafond, BIC, cautions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montant_eligible = min(plafond produit, f(épargne, CAF, RCSD, score, hist, garanties+cautions), capacité échéance).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BIC + situation fiscale en_regle / a_verifier / non_conforme / non_fourni.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Si montant ≥ seuil_caution → évaluation cautionnaire (peut-il payer à la place ?).</w:t>
      </w:r>
    </w:p>
    <w:p>
      <w:pPr>
        <w:pStyle w:val="Heading1"/>
      </w:pPr>
      <w:r>
        <w:t>6. Workflows acteurs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Agent de crédit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Compte/membre, saisie, score/plafond, mémo, soumission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Chef d'agence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Valider / refuser / renvoyer / envoyer CIC (motif si ≠ reco)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CIC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Accorder / conditionner / refuser (zone grise &amp; gros montants)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Suite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&lt; 40 ou knockout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Rejet reco ; override → CIC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41–70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CIC obligatoire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&gt; 70 et montant OK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Validation chef simplifiée (humaine)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Voie exceptionnelle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CIC + cautions</w:t>
            </w:r>
          </w:p>
        </w:tc>
      </w:tr>
    </w:tbl>
    <w:p/>
    <w:p>
      <w:pPr>
        <w:pStyle w:val="Heading1"/>
      </w:pPr>
      <w:r>
        <w:t>7. Architecture et intégrabilité 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Couche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Choix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Front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React PWA (TypeScript)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Moteur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scoring/ règles + ML explicable optionnel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BDD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PostgreSQL + Docker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A1A1A"/>
          <w:sz w:val="20"/>
        </w:rPr>
        <w:t>Preuve d'intégrabilité : sidecar (pas de greffe transactionnelle) ; mapping de champs ; adapters stub→API pilote ; tables digiscore_* ADD-only ; agence_id ; index pour &gt;1 M clients.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Livrable intégration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Conception H0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Sidecar + schéma + mapping + interface Adapter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Dev 72 h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AdapterStub + mêmes API qu'en pilote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Pilote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Adapter réel + CREATE digiscore_* + atelier DSI</w:t>
            </w:r>
          </w:p>
        </w:tc>
      </w:tr>
    </w:tbl>
    <w:p/>
    <w:p>
      <w:pPr>
        <w:pStyle w:val="Heading1"/>
      </w:pPr>
      <w:r>
        <w:t>8. Modèle de données (synthèse)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Cœur : membre, compte, mouvements, crédits passés, incidents, produits (seuil_caution).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BIC/fiscal : consentement_bic, rapport_bic, piece_justificative, situation_fiscale.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Cautions : cautionnaire, demande_caution, evaluation_cautionnaire.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Demande : collecte A–E, ratio_financier, score_resultat, décision 3 niveaux, audit.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Vision : suivi_portefeuille, par, recouvrement.</w:t>
      </w:r>
    </w:p>
    <w:p>
      <w:pPr>
        <w:pStyle w:val="Heading1"/>
      </w:pPr>
      <w:r>
        <w:t>9. Périmètre IN / OUT 72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OUT / vision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M1–M5 + score/100 + plafond + 3 rôles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Connecteurs core banking / BIC / mobile money live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Upload pièces + qualité photo (+ OCR démo)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OCR production robuste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Cautions + flags BIC/fiscal (seed)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API BIC réelle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Maquettes M6/M7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Moteurs suivi/recouvrement live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Adapters stub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Multi-tenant / SSO / i18n éwé</w:t>
            </w:r>
          </w:p>
        </w:tc>
      </w:tr>
    </w:tbl>
    <w:p/>
    <w:p>
      <w:pPr>
        <w:pStyle w:val="Heading1"/>
      </w:pPr>
      <w:r>
        <w:t>10. Organisation, ressources, conformité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Rôle équipe</w:t>
            </w:r>
          </w:p>
        </w:tc>
        <w:tc>
          <w:tcPr>
            <w:tcW w:type="dxa" w:w="4873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Dossier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backend/db/, data/synthetic/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Scoring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scoring/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Backend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backend/app/</w:t>
            </w:r>
          </w:p>
        </w:tc>
      </w:tr>
      <w:tr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Frontend</w:t>
            </w:r>
          </w:p>
        </w:tc>
        <w:tc>
          <w:tcPr>
            <w:tcW w:type="dxa" w:w="4873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frontend/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Ressource démo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Min</w:t>
            </w:r>
          </w:p>
        </w:tc>
        <w:tc>
          <w:tcPr>
            <w:tcW w:type="dxa" w:w="3249"/>
            <w:shd w:fill="0B3D5C" w:val="clea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CPU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 vCPU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</w:t>
            </w:r>
          </w:p>
        </w:tc>
      </w:tr>
      <w:tr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RAM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 Go</w:t>
            </w:r>
          </w:p>
        </w:tc>
        <w:tc>
          <w:tcPr>
            <w:tcW w:type="dxa" w:w="3249"/>
            <w:shd w:fill="F4F8FA" w:val="clear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 Go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Disque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10 Go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20 Go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0"/>
        </w:rPr>
        <w:t>Données synthétiques uniquement ; audit des overrides ; amortissement ≤ capacité.</w:t>
      </w:r>
    </w:p>
    <w:p>
      <w:pPr>
        <w:spacing w:before="40" w:after="160"/>
        <w:pBdr>
          <w:bottom w:val="single" w:sz="12" w:space="1" w:color="1A6B5C"/>
        </w:pBdr>
      </w:pP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18"/>
        </w:rPr>
        <w:t>Fin du cahier des charges complet — DigiScore-WA · Équipe Alpha · CIF DigiCoop-WA+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4A4A"/>
        <w:sz w:val="16"/>
      </w:rPr>
      <w:t>DigiScore-WA · Cahier des charges complet · Équipe Alpha · CIF DigiCoop-WA+ · Sept.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6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