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18"/>
        </w:rPr>
        <w:t>DIGICOOP-WA+  ·  CIF  ·  HACKATHON NATIONAL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1A1A"/>
          <w:sz w:val="18"/>
        </w:rPr>
        <w:t>Équipe Alpha  ·  Thématique 02 — Scoring microcrédit</w:t>
      </w:r>
    </w:p>
    <w:p>
      <w:pPr>
        <w:spacing w:before="40" w:after="160"/>
        <w:pBdr>
          <w:bottom w:val="single" w:sz="12" w:space="1" w:color="1A6B5C"/>
        </w:pBdr>
      </w:pPr>
    </w:p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48"/>
        </w:rPr>
        <w:t>DigiScore-WA</w:t>
      </w:r>
    </w:p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28"/>
        </w:rPr>
        <w:t>Livrable du soir — 5 minutes</w:t>
      </w:r>
    </w:p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4"/>
        </w:rPr>
        <w:t>Problème  ·  Idée  ·  Architecture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1A1A"/>
          <w:sz w:val="18"/>
        </w:rPr>
        <w:t>Institutions CIF  ·  Score /100  ·  Lomé 2026</w:t>
      </w:r>
    </w:p>
    <w:p>
      <w:pPr>
        <w:spacing w:before="40" w:after="160"/>
        <w:pBdr>
          <w:bottom w:val="single" w:sz="12" w:space="1" w:color="1A6B5C"/>
        </w:pBdr>
      </w:pPr>
    </w:p>
    <w:p>
      <w:pPr>
        <w:pStyle w:val="Heading1"/>
      </w:pPr>
      <w:r>
        <w:t>Déroulement (5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Temps</w:t>
            </w:r>
          </w:p>
        </w:tc>
        <w:tc>
          <w:tcPr>
            <w:tcW w:type="dxa" w:w="34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</w:t>
            </w:r>
          </w:p>
        </w:tc>
        <w:tc>
          <w:tcPr>
            <w:tcW w:type="dxa" w:w="34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0:00–1:00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Problème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Besoin commun SFD CIF</w:t>
            </w:r>
          </w:p>
        </w:tc>
      </w:tr>
      <w:tr>
        <w:tc>
          <w:tcPr>
            <w:tcW w:type="dxa" w:w="34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1:00–3:30</w:t>
            </w:r>
          </w:p>
        </w:tc>
        <w:tc>
          <w:tcPr>
            <w:tcW w:type="dxa" w:w="34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Idée</w:t>
            </w:r>
          </w:p>
        </w:tc>
        <w:tc>
          <w:tcPr>
            <w:tcW w:type="dxa" w:w="34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Impacts, innovations, modèle /100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3:30–5:00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Architecture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Stack, sidecar, scope 72 h</w:t>
            </w:r>
          </w:p>
        </w:tc>
      </w:tr>
    </w:tbl>
    <w:p/>
    <w:p>
      <w:pPr>
        <w:pStyle w:val="Heading1"/>
      </w:pPr>
      <w:r>
        <w:t>1. Le problème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Dans les institutions CIF, l'évaluation du microcrédit reste souvent manuelle, lente et inégale, alors que le risque commence dès J+1.</w:t>
      </w:r>
    </w:p>
    <w:p>
      <w:r>
        <w:rPr>
          <w:rFonts w:ascii="Calibri" w:hAnsi="Calibri" w:eastAsia="Calibri"/>
          <w:b w:val="0"/>
          <w:i/>
          <w:color w:val="1A1A1A"/>
          <w:sz w:val="18"/>
        </w:rPr>
        <w:t>Méthode : FUCEC-Togo = échantillon d'existant. La solution vise toutes les institutions CIF.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~3 h pour instruire un dossier ; ~8 % d'impayés (ordres de grandeur).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Le membre a (ou doit ouvrir) un compte : l'historique existe mais sert peu de moteur d'éligibilité/plafond.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Cas sans historique local, BIC/fiscalité, cautionnaires au-delà d'un seuil : encore très papier.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F1" w:val="clear"/>
          </w:tcPr>
          <w:p>
            <w:r>
              <w:rPr>
                <w:rFonts w:ascii="Calibri" w:hAnsi="Calibri" w:eastAsia="Calibri"/>
                <w:b/>
                <w:i w:val="0"/>
                <w:color w:val="1A6B5C"/>
                <w:sz w:val="20"/>
              </w:rPr>
              <w:t xml:space="preserve">Question : 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Comment objectiver éligibilité et plafond sans remplacer l'humain, de façon intégrable aux SI CIF ?</w:t>
            </w:r>
          </w:p>
        </w:tc>
      </w:tr>
    </w:tbl>
    <w:p/>
    <w:p>
      <w:pPr>
        <w:pStyle w:val="Heading1"/>
      </w:pPr>
      <w:r>
        <w:t>2. L'idée — DigiScore-WA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Copilote d'octroi : historique membre (ou preuves externes) + formulaire → score /100 + plafond + message type crédit mobile → Agent → Chef d'agence → CIC.</w:t>
      </w:r>
    </w:p>
    <w:p>
      <w:pPr>
        <w:pStyle w:val="Heading2"/>
      </w:pPr>
      <w:r>
        <w:t>2.1 Impacts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51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Effet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Temps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Cible pédagogique ~3 h → ~45 min</w:t>
            </w:r>
          </w:p>
        </w:tc>
      </w:tr>
      <w:tr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Risque</w:t>
            </w:r>
          </w:p>
        </w:tc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Détection plus précoce (cible ~8 % → ~5 %, à valider en pilote)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Homogénéité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Même grille / messages entre agences</w:t>
            </w:r>
          </w:p>
        </w:tc>
      </w:tr>
      <w:tr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Gouvernance</w:t>
            </w:r>
          </w:p>
        </w:tc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Chaîne 3 niveaux + audit des overrides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Protection client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Plafond et échéances bornés par la capacité</w:t>
            </w:r>
          </w:p>
        </w:tc>
      </w:tr>
      <w:tr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Déploiement</w:t>
            </w:r>
          </w:p>
        </w:tc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Pas de greffe sur le cœur transactionnel</w:t>
            </w:r>
          </w:p>
        </w:tc>
      </w:tr>
    </w:tbl>
    <w:p/>
    <w:p>
      <w:pPr>
        <w:pStyle w:val="Heading2"/>
      </w:pPr>
      <w:r>
        <w:t>2.2 Innovations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Plafond + messages type crédit télécom (pas seulement oui/non).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Voie sans historique interne : questionnaire + upload pièces ; refus si preuves absentes.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BIC / fiscalité + cautionnaires évalués (relais d'échéances) au-delà d'un seuil.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Score /100 (demande encadreurs) — seuils 40 / 70, simples à expliquer.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ML explicable optionnel ; règle d'or : le ML éclaire, l'humain décide.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Sidecar + mapping + adapters : intégrable en pilote sans refaire le moteur.</w:t>
      </w:r>
    </w:p>
    <w:p>
      <w:pPr>
        <w:pStyle w:val="Heading2"/>
      </w:pPr>
      <w:r>
        <w:t>2.3 Modèle de décision (essentiel)</w:t>
      </w:r>
    </w:p>
    <w:p>
      <w:r>
        <w:rPr>
          <w:rFonts w:ascii="Calibri" w:hAnsi="Calibri" w:eastAsia="Calibri"/>
          <w:b w:val="0"/>
          <w:i w:val="0"/>
          <w:color w:val="1A1A1A"/>
          <w:sz w:val="20"/>
        </w:rPr>
        <w:t>Règles : CAF, RCSD (≥150 %, knockout &lt;1), 6 ratios, trésorerie, patrimoine → score /100 (6 critères).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34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Reco</w:t>
            </w:r>
          </w:p>
        </w:tc>
        <w:tc>
          <w:tcPr>
            <w:tcW w:type="dxa" w:w="34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Humain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0–40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Rejet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Chef / CIC si override</w:t>
            </w:r>
          </w:p>
        </w:tc>
      </w:tr>
      <w:tr>
        <w:tc>
          <w:tcPr>
            <w:tcW w:type="dxa" w:w="34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41–70</w:t>
            </w:r>
          </w:p>
        </w:tc>
        <w:tc>
          <w:tcPr>
            <w:tcW w:type="dxa" w:w="34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Analyse</w:t>
            </w:r>
          </w:p>
        </w:tc>
        <w:tc>
          <w:tcPr>
            <w:tcW w:type="dxa" w:w="34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CIC obligatoire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71–100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Approbation reco</w:t>
            </w:r>
          </w:p>
        </w:tc>
        <w:tc>
          <w:tcPr>
            <w:tcW w:type="dxa" w:w="34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Chef (toujours humain)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A1A1A"/>
          <w:sz w:val="18"/>
        </w:rPr>
        <w:t>ML optionnel : contributions, anomalies, simulateur de résilience — jamais dans les knock-outs ni la décision finale.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F1" w:val="clear"/>
          </w:tcPr>
          <w:p>
            <w:r>
              <w:rPr>
                <w:rFonts w:ascii="Calibri" w:hAnsi="Calibri" w:eastAsia="Calibri"/>
                <w:b/>
                <w:i w:val="0"/>
                <w:color w:val="1A6B5C"/>
                <w:sz w:val="20"/>
              </w:rPr>
              <w:t xml:space="preserve">Phrase : 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« Le crédit mobile appliqué aux institutions CIF : éligibilité et plafond, score /100, cautions/BIC, décision Agent→Chef→CIC, sans toucher au transactionnel. »</w:t>
            </w:r>
          </w:p>
        </w:tc>
      </w:tr>
    </w:tbl>
    <w:p/>
    <w:p>
      <w:pPr>
        <w:pStyle w:val="Heading1"/>
      </w:pPr>
      <w:r>
        <w:t>3. L'architecture</w:t>
      </w:r>
    </w:p>
    <w:p>
      <w:r>
        <w:rPr>
          <w:rFonts w:ascii="Calibri" w:hAnsi="Calibri" w:eastAsia="Calibri"/>
          <w:b w:val="0"/>
          <w:i w:val="0"/>
          <w:color w:val="1A1A1A"/>
          <w:sz w:val="20"/>
        </w:rPr>
        <w:t>PWA (3 rôles) → FastAPI → moteur score &amp; plafond → PostgreSQL → mémo / files /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Couche</w:t>
            </w:r>
          </w:p>
        </w:tc>
        <w:tc>
          <w:tcPr>
            <w:tcW w:type="dxa" w:w="51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Choix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Front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React PWA</w:t>
            </w:r>
          </w:p>
        </w:tc>
      </w:tr>
      <w:tr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Back</w:t>
            </w:r>
          </w:p>
        </w:tc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Décision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Règles + hooks ML optionnels</w:t>
            </w:r>
          </w:p>
        </w:tc>
      </w:tr>
      <w:tr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Données</w:t>
            </w:r>
          </w:p>
        </w:tc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PostgreSQL + seeds synthétiques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Sidecar : lecture API/passerelle ; écriture digiscore_* ADD-only.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Hackathon = AdapterStub ; pilote = même API + adapter réel.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 72 h</w:t>
            </w:r>
          </w:p>
        </w:tc>
        <w:tc>
          <w:tcPr>
            <w:tcW w:type="dxa" w:w="5100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M1–M5, score/100, 3 rôles, upload pièces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Connecteurs live BIC/core banking</w:t>
            </w:r>
          </w:p>
        </w:tc>
      </w:tr>
      <w:tr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Cautions + flags BIC/fiscal (seed)</w:t>
            </w:r>
          </w:p>
        </w:tc>
        <w:tc>
          <w:tcPr>
            <w:tcW w:type="dxa" w:w="5100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OCR/API production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Maquettes M6/M7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Multi-tenant / SSO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A1A1A"/>
          <w:sz w:val="18"/>
        </w:rPr>
        <w:t>Ressources démo : 2–4 vCPU · 4–8 Go RAM · Docker.</w:t>
      </w:r>
    </w:p>
    <w:p>
      <w:pPr>
        <w:spacing w:before="40" w:after="160"/>
        <w:pBdr>
          <w:bottom w:val="single" w:sz="12" w:space="1" w:color="1A6B5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F1" w:val="clear"/>
          </w:tcPr>
          <w:p>
            <w:r>
              <w:rPr>
                <w:rFonts w:ascii="Calibri" w:hAnsi="Calibri" w:eastAsia="Calibri"/>
                <w:b/>
                <w:i w:val="0"/>
                <w:color w:val="1A6B5C"/>
                <w:sz w:val="20"/>
              </w:rPr>
              <w:t xml:space="preserve">Clôture : 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DigiScore-WA — copilote d'éligibilité et de plafond pour les institutions CIF, score /100, gouverné par l'humain, déployable à côté du SI.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0"/>
        </w:rPr>
        <w:t>Prêts pour les questions des mentors.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4A4A"/>
        <w:sz w:val="16"/>
      </w:rPr>
      <w:t>DigiScore-WA · Livrable soir J1 · Problème · Idée · Architecture · Équipe Alpha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6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3D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