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EJERCICIOS DE DIAGRAMAS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E/R Haz un diagrama E/R e indica la participación y cardinalidad para cada una de las siguientes especificaciones: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1. En un supermercado hay productos organizados en categorías (frutas, ultramarinos, carnes, pescados, etc.). Cada producto pertenece a una única categoría, y puede haber categorías que todavía no tengan ningún producto asignado. Sin embargo, no puede haber productos sin categoría.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1:N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2. Las páginas web contienen controles de muchos tipos: campos de texto, listas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desplegables, botones…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N:M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Los clientes pueden realizar pedidos a través de sus representantes de ventas. La empresa asigna un representante único a cada zona de venta.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1:N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1951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Una editorial de novelas publica libros de diferentes escritores. Al tratarse de novelas, no se contempla que haya más de un autor para un mismo libro.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Modela el matrimonio en los siguientes casos: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a. Matrimonio heterosexual, en una sociedad monogámica.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b. Matrimonio heterosexual, en una sociedad poligámica machista.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c. Matrimonio tal y como está ahora regulado en España.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22955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Una empresa de mecánica cuenta con varios talleres en la zona. Cada taller tiene una plantilla fija de mecánicos. Todos ellos son igual de competentes y su forma de trabajo consiste en asignar un vehículo a un único empleado.</w:t>
      </w: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7. En una clínica veterinaria cada veterinario atiende a un animal y le administra un medicamento para curar su enfermedad.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8. En una empresa, todo empleado tiene un jefe (excepto el director general). A su vez, cada empleado puede dirigir a un número variable de empleados (o ninguno).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9. Se desea almacenar información sobre la red de metro, sabiendo que: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a. Los trenes están asignados a una línea determinada.</w:t>
      </w: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b. Cada tren se guarda en una cochera y sólo hay sitio para un tren.</w:t>
      </w: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c. Cada cochera está en una estación.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10. Base de datos de la UE. Cada país está organizado en regiones. A su vez, cada región se divide en comarcas y éstas en municipios. Cada país y región cuentan con una capital.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uBFEro2DPgXQ7F031ufmnh53xA==">CgMxLjA4AHIhMVNZNTdaOGkyaVE1TUJuc0NxUFlWcHRaMWJsQ1QyN0Zv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