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6b79a648937ccf0cec29efa7e8e8efd195d616"/>
    <w:p>
      <w:pPr>
        <w:pStyle w:val="Title"/>
        <w:jc w:val="left"/>
      </w:pPr>
      <w:r>
        <w:t xml:space="preserve">AOVGuard 2.0 - Technical and Academic Review Pack for Codex</w:t>
      </w:r>
    </w:p>
    <w:p>
      <w:pPr>
        <w:pStyle w:val="FirstParagraph"/>
        <w:spacing w:after="240" w:line="300" w:lineRule="auto"/>
      </w:pPr>
      <w:r>
        <w:rPr>
          <w:rFonts w:ascii="Aptos" w:hAnsi="Aptos"/>
          <w:b/>
          <w:bCs/>
          <w:sz w:val="21"/>
        </w:rPr>
        <w:t xml:space="preserve">Project:</w:t>
      </w:r>
      <w:r>
        <w:rPr>
          <w:rFonts w:ascii="Aptos" w:hAnsi="Aptos"/>
          <w:sz w:val="21"/>
        </w:rPr>
        <w:t xml:space="preserve"> </w:t>
      </w:r>
      <w:r>
        <w:rPr>
          <w:rFonts w:ascii="Aptos" w:hAnsi="Aptos"/>
          <w:sz w:val="21"/>
        </w:rPr>
        <w:t xml:space="preserve">AOVGuard 2.0</w:t>
      </w:r>
      <w:r>
        <w:rPr>
          <w:rFonts w:ascii="Aptos" w:hAnsi="Aptos"/>
          <w:sz w:val="21"/>
        </w:rPr>
        <w:br/>
      </w:r>
      <w:r>
        <w:rPr>
          <w:rFonts w:ascii="Aptos" w:hAnsi="Aptos"/>
          <w:b/>
          <w:bCs/>
          <w:sz w:val="21"/>
        </w:rPr>
        <w:t xml:space="preserve">Programme:</w:t>
      </w:r>
      <w:r>
        <w:rPr>
          <w:rFonts w:ascii="Aptos" w:hAnsi="Aptos"/>
          <w:sz w:val="21"/>
        </w:rPr>
        <w:t xml:space="preserve"> </w:t>
      </w:r>
      <w:r>
        <w:rPr>
          <w:rFonts w:ascii="Aptos" w:hAnsi="Aptos"/>
          <w:sz w:val="21"/>
        </w:rPr>
        <w:t xml:space="preserve">MSc Computer Animation and Visual Effects</w:t>
      </w:r>
      <w:r>
        <w:rPr>
          <w:rFonts w:ascii="Aptos" w:hAnsi="Aptos"/>
          <w:sz w:val="21"/>
        </w:rPr>
        <w:br/>
      </w:r>
      <w:r>
        <w:rPr>
          <w:rFonts w:ascii="Aptos" w:hAnsi="Aptos"/>
          <w:b/>
          <w:bCs/>
          <w:sz w:val="21"/>
        </w:rPr>
        <w:t xml:space="preserve">Author:</w:t>
      </w:r>
      <w:r>
        <w:rPr>
          <w:rFonts w:ascii="Aptos" w:hAnsi="Aptos"/>
          <w:sz w:val="21"/>
        </w:rPr>
        <w:t xml:space="preserve"> </w:t>
      </w:r>
      <w:r>
        <w:rPr>
          <w:rFonts w:ascii="Aptos" w:hAnsi="Aptos"/>
          <w:sz w:val="21"/>
        </w:rPr>
        <w:t xml:space="preserve">Joshua A. Medina G.</w:t>
      </w:r>
      <w:r>
        <w:rPr>
          <w:rFonts w:ascii="Aptos" w:hAnsi="Aptos"/>
          <w:sz w:val="21"/>
        </w:rPr>
        <w:br/>
      </w:r>
      <w:r>
        <w:rPr>
          <w:rFonts w:ascii="Aptos" w:hAnsi="Aptos"/>
          <w:b/>
          <w:bCs/>
          <w:sz w:val="21"/>
        </w:rPr>
        <w:t xml:space="preserve">Reviewed release:</w:t>
      </w:r>
      <w:r>
        <w:rPr>
          <w:rFonts w:ascii="Aptos" w:hAnsi="Aptos"/>
          <w:sz w:val="21"/>
        </w:rPr>
        <w:t xml:space="preserve"> </w:t>
      </w:r>
      <w:r>
        <w:rPr>
          <w:rStyle w:val="VerbatimChar"/>
          <w:rFonts w:ascii="Aptos" w:hAnsi="Aptos"/>
          <w:sz w:val="21"/>
        </w:rPr>
        <w:t xml:space="preserve">AOVGuard_2.0_release_2026-08-08.zip</w:t>
      </w:r>
      <w:r>
        <w:rPr>
          <w:rFonts w:ascii="Aptos" w:hAnsi="Aptos"/>
          <w:sz w:val="21"/>
        </w:rPr>
        <w:br/>
      </w:r>
      <w:r>
        <w:rPr>
          <w:rFonts w:ascii="Aptos" w:hAnsi="Aptos"/>
          <w:b/>
          <w:bCs/>
          <w:sz w:val="21"/>
        </w:rPr>
        <w:t xml:space="preserve">Review date:</w:t>
      </w:r>
      <w:r>
        <w:rPr>
          <w:rFonts w:ascii="Aptos" w:hAnsi="Aptos"/>
          <w:sz w:val="21"/>
        </w:rPr>
        <w:t xml:space="preserve"> </w:t>
      </w:r>
      <w:r>
        <w:rPr>
          <w:rFonts w:ascii="Aptos" w:hAnsi="Aptos"/>
          <w:sz w:val="21"/>
        </w:rPr>
        <w:t xml:space="preserve">11 August 2026</w:t>
      </w:r>
      <w:r>
        <w:rPr>
          <w:rFonts w:ascii="Aptos" w:hAnsi="Aptos"/>
          <w:sz w:val="21"/>
        </w:rPr>
        <w:br/>
      </w:r>
      <w:r>
        <w:rPr>
          <w:rFonts w:ascii="Aptos" w:hAnsi="Aptos"/>
          <w:b/>
          <w:bCs/>
          <w:sz w:val="21"/>
        </w:rPr>
        <w:t xml:space="preserve">Purpose:</w:t>
      </w:r>
      <w:r>
        <w:rPr>
          <w:rFonts w:ascii="Aptos" w:hAnsi="Aptos"/>
          <w:sz w:val="21"/>
        </w:rPr>
        <w:t xml:space="preserve"> </w:t>
      </w:r>
      <w:r>
        <w:rPr>
          <w:rFonts w:ascii="Aptos" w:hAnsi="Aptos"/>
          <w:sz w:val="21"/>
        </w:rPr>
        <w:t xml:space="preserve">Self-contained technical and academic context for a second-pass review in Codex.</w:t>
      </w:r>
    </w:p>
    <w:p>
      <w:pPr>
        <w:pStyle w:val="BodyText"/>
        <w:spacing w:after="360"/>
      </w:pPr>
      <w:r>
        <w:rPr>
          <w:i/>
          <w:color w:val="5A646E"/>
        </w:rPr>
        <w:t>Repository-first review | Confirmed implementation, recorded evidence, academic references, limitations and Codex audit instructions</w:t>
      </w:r>
      <w:r>
        <w:br w:type="page"/>
      </w:r>
    </w:p>
    <w:bookmarkStart w:id="20" w:name="how-this-document-should-be-interpreted"/>
    <w:p>
      <w:pPr>
        <w:pStyle w:val="Heading1"/>
        <w:keepNext/>
        <w:keepLines/>
      </w:pPr>
      <w:r>
        <w:t xml:space="preserve">0. How this document should be interpreted</w:t>
      </w:r>
    </w:p>
    <w:p>
      <w:pPr>
        <w:pStyle w:val="FirstParagraph"/>
      </w:pPr>
      <w:r>
        <w:t xml:space="preserve">This document combines three kinds of evidence and keeps them deliberately separate:</w:t>
      </w:r>
    </w:p>
    <w:p>
      <w:pPr>
        <w:pStyle w:val="Compact"/>
        <w:numPr>
          <w:ilvl w:val="0"/>
          <w:numId w:val="1001"/>
        </w:numPr>
      </w:pPr>
      <w:r>
        <w:rPr>
          <w:b/>
          <w:bCs/>
        </w:rPr>
        <w:t xml:space="preserve">Confirmed implementation</w:t>
      </w:r>
      <w:r>
        <w:t xml:space="preserve"> </w:t>
      </w:r>
      <w:r>
        <w:t xml:space="preserve">- behaviour directly supported by the release source code.</w:t>
      </w:r>
    </w:p>
    <w:p>
      <w:pPr>
        <w:pStyle w:val="Compact"/>
        <w:numPr>
          <w:ilvl w:val="0"/>
          <w:numId w:val="1001"/>
        </w:numPr>
      </w:pPr>
      <w:r>
        <w:rPr>
          <w:b/>
          <w:bCs/>
        </w:rPr>
        <w:t xml:space="preserve">Recorded experimental evidence</w:t>
      </w:r>
      <w:r>
        <w:t xml:space="preserve"> </w:t>
      </w:r>
      <w:r>
        <w:t xml:space="preserve">- results stored in the release, such as benchmark JSON and recorded test/coverage results.</w:t>
      </w:r>
    </w:p>
    <w:p>
      <w:pPr>
        <w:pStyle w:val="Compact"/>
        <w:numPr>
          <w:ilvl w:val="0"/>
          <w:numId w:val="1001"/>
        </w:numPr>
      </w:pPr>
      <w:r>
        <w:rPr>
          <w:b/>
          <w:bCs/>
        </w:rPr>
        <w:t xml:space="preserve">Academic/industry interpretation</w:t>
      </w:r>
      <w:r>
        <w:t xml:space="preserve"> </w:t>
      </w:r>
      <w:r>
        <w:t xml:space="preserve">- claims supported by external literature, standards or official documentation.</w:t>
      </w:r>
    </w:p>
    <w:p>
      <w:pPr>
        <w:pStyle w:val="Compact"/>
        <w:numPr>
          <w:ilvl w:val="0"/>
          <w:numId w:val="1001"/>
        </w:numPr>
      </w:pPr>
      <w:r>
        <w:rPr>
          <w:b/>
          <w:bCs/>
        </w:rPr>
        <w:t xml:space="preserve">Proposed/future work</w:t>
      </w:r>
      <w:r>
        <w:t xml:space="preserve"> </w:t>
      </w:r>
      <w:r>
        <w:t xml:space="preserve">- ideas that are not implemented and must not be described as current capability.</w:t>
      </w:r>
    </w:p>
    <w:p>
      <w:pPr>
        <w:pStyle w:val="FirstParagraph"/>
      </w:pPr>
      <w:r>
        <w:t xml:space="preserve">The release ZIP is the primary source of truth for implementation claims. The project context document is useful for intent and recorded history, but any statement that conflicts with the code should be treated as documentation drift and corrected.</w:t>
      </w:r>
    </w:p>
    <w:p>
      <w:pPr>
        <w:pStyle w:val="BodyText"/>
      </w:pPr>
      <w:r>
        <w:t xml:space="preserve">No code was modified during this review.</w:t>
      </w:r>
    </w:p>
    <w:p>
      <w:pPr>
        <w:pStyle w:val="BodyText"/>
      </w:pPr>
      <w:r>
        <w:t xml:space="preserve">AOVGuard should not be presented as inventing OpenEXR, AOVs, HDR imaging, luminance formulas, image statistics, software testing or production quality control. Its defensible contribution is the</w:t>
      </w:r>
      <w:r>
        <w:t xml:space="preserve"> </w:t>
      </w:r>
      <w:r>
        <w:rPr>
          <w:b/>
          <w:bCs/>
        </w:rPr>
        <w:t xml:space="preserve">design, implementation and evaluation of their integration into a focused OpenEXR/AOV validation workflow for VFX render outputs</w:t>
      </w:r>
      <w:r>
        <w:t xml:space="preserve">.</w:t>
      </w:r>
    </w:p>
    <w:bookmarkEnd w:id="20"/>
    <w:bookmarkEnd w:id="21"/>
    <w:bookmarkStart w:id="22" w:name="executive-assessment"/>
    <w:p>
      <w:pPr>
        <w:pStyle w:val="Heading1"/>
        <w:keepNext/>
        <w:keepLines/>
      </w:pPr>
      <w:r>
        <w:t xml:space="preserve">1. Executive assessment</w:t>
      </w:r>
    </w:p>
    <w:p>
      <w:pPr>
        <w:pStyle w:val="FirstParagraph"/>
      </w:pPr>
      <w:r>
        <w:t xml:space="preserve">AOVGuard 2.0 is best characterised as an</w:t>
      </w:r>
      <w:r>
        <w:t xml:space="preserve"> </w:t>
      </w:r>
      <w:r>
        <w:rPr>
          <w:b/>
          <w:bCs/>
        </w:rPr>
        <w:t xml:space="preserve">applied VFX software-engineering and Pipeline TD project</w:t>
      </w:r>
      <w:r>
        <w:t xml:space="preserve">. It inspects OpenEXR files and sequences, infers approximate AOV structure from channel names, constructs colour AOVs in a canonical RGB representation, computes numerical evidence, executes configurable validation rules, performs filename-sequence checks, and exposes the same analysis model through a command-line interface, a PySide6 GUI, JSON and HTML reports.</w:t>
      </w:r>
    </w:p>
    <w:p>
      <w:pPr>
        <w:pStyle w:val="BodyText"/>
      </w:pPr>
      <w:r>
        <w:t xml:space="preserve">The strongest aspects of the project are:</w:t>
      </w:r>
    </w:p>
    <w:p>
      <w:pPr>
        <w:pStyle w:val="Compact"/>
        <w:numPr>
          <w:ilvl w:val="0"/>
          <w:numId w:val="1002"/>
        </w:numPr>
      </w:pPr>
      <w:r>
        <w:t xml:space="preserve">a clear transition from the original manually selected Simple/Multilayer architecture to automatic EXR structure inspection;</w:t>
      </w:r>
    </w:p>
    <w:p>
      <w:pPr>
        <w:pStyle w:val="Compact"/>
        <w:numPr>
          <w:ilvl w:val="0"/>
          <w:numId w:val="1002"/>
        </w:numPr>
      </w:pPr>
      <w:r>
        <w:t xml:space="preserve">a shared core analysis path used by CLI and GUI;</w:t>
      </w:r>
    </w:p>
    <w:p>
      <w:pPr>
        <w:pStyle w:val="Compact"/>
        <w:numPr>
          <w:ilvl w:val="0"/>
          <w:numId w:val="1002"/>
        </w:numPr>
      </w:pPr>
      <w:r>
        <w:t xml:space="preserve">explicit modelling of AOV categories and confidence;</w:t>
      </w:r>
    </w:p>
    <w:p>
      <w:pPr>
        <w:pStyle w:val="Compact"/>
        <w:numPr>
          <w:ilvl w:val="0"/>
          <w:numId w:val="1002"/>
        </w:numPr>
      </w:pPr>
      <w:r>
        <w:t xml:space="preserve">canonical RGB handling that removes the earlier BGR/RGB inconsistency;</w:t>
      </w:r>
    </w:p>
    <w:p>
      <w:pPr>
        <w:pStyle w:val="Compact"/>
        <w:numPr>
          <w:ilvl w:val="0"/>
          <w:numId w:val="1002"/>
        </w:numPr>
      </w:pPr>
      <w:r>
        <w:t xml:space="preserve">centralised configurable RGB weighting for luminance-like analysis metrics;</w:t>
      </w:r>
    </w:p>
    <w:p>
      <w:pPr>
        <w:pStyle w:val="Compact"/>
        <w:numPr>
          <w:ilvl w:val="0"/>
          <w:numId w:val="1002"/>
        </w:numPr>
      </w:pPr>
      <w:r>
        <w:t xml:space="preserve">a rule engine with configuration and per-rule fault isolation;</w:t>
      </w:r>
    </w:p>
    <w:p>
      <w:pPr>
        <w:pStyle w:val="Compact"/>
        <w:numPr>
          <w:ilvl w:val="0"/>
          <w:numId w:val="1002"/>
        </w:numPr>
      </w:pPr>
      <w:r>
        <w:t xml:space="preserve">sequence-level checks that complement pixel-level analysis;</w:t>
      </w:r>
    </w:p>
    <w:p>
      <w:pPr>
        <w:pStyle w:val="Compact"/>
        <w:numPr>
          <w:ilvl w:val="0"/>
          <w:numId w:val="1002"/>
        </w:numPr>
      </w:pPr>
      <w:r>
        <w:t xml:space="preserve">frame-first processing evaluated against an AOV-first comparison strategy;</w:t>
      </w:r>
    </w:p>
    <w:p>
      <w:pPr>
        <w:pStyle w:val="Compact"/>
        <w:numPr>
          <w:ilvl w:val="0"/>
          <w:numId w:val="1002"/>
        </w:numPr>
      </w:pPr>
      <w:r>
        <w:t xml:space="preserve">canonical structured reporting;</w:t>
      </w:r>
    </w:p>
    <w:p>
      <w:pPr>
        <w:pStyle w:val="Compact"/>
        <w:numPr>
          <w:ilvl w:val="0"/>
          <w:numId w:val="1002"/>
        </w:numPr>
      </w:pPr>
      <w:r>
        <w:t xml:space="preserve">a substantially expanded automated test suite and CI coverage threshold;</w:t>
      </w:r>
    </w:p>
    <w:p>
      <w:pPr>
        <w:pStyle w:val="Compact"/>
        <w:numPr>
          <w:ilvl w:val="0"/>
          <w:numId w:val="1002"/>
        </w:numPr>
      </w:pPr>
      <w:r>
        <w:t xml:space="preserve">explicit acknowledgement of limitations such as deep EXR, full multipart, technical-pass validation and production threshold calibration.</w:t>
      </w:r>
    </w:p>
    <w:p>
      <w:pPr>
        <w:pStyle w:val="FirstParagraph"/>
      </w:pPr>
      <w:r>
        <w:t xml:space="preserve">The primary remaining academic risk is not missing implementation. It is</w:t>
      </w:r>
      <w:r>
        <w:t xml:space="preserve"> </w:t>
      </w:r>
      <w:r>
        <w:rPr>
          <w:b/>
          <w:bCs/>
        </w:rPr>
        <w:t xml:space="preserve">overclaiming</w:t>
      </w:r>
      <w:r>
        <w:t xml:space="preserve">. Several statements in documentation should be narrowed so that the dissertation distinguishes:</w:t>
      </w:r>
    </w:p>
    <w:p>
      <w:pPr>
        <w:pStyle w:val="Compact"/>
        <w:numPr>
          <w:ilvl w:val="0"/>
          <w:numId w:val="1003"/>
        </w:numPr>
      </w:pPr>
      <w:r>
        <w:t xml:space="preserve">file parsing from application-level interpretation;</w:t>
      </w:r>
    </w:p>
    <w:p>
      <w:pPr>
        <w:pStyle w:val="Compact"/>
        <w:numPr>
          <w:ilvl w:val="0"/>
          <w:numId w:val="1003"/>
        </w:numPr>
      </w:pPr>
      <w:r>
        <w:t xml:space="preserve">heuristic AOV categorisation from semantic ground truth;</w:t>
      </w:r>
    </w:p>
    <w:p>
      <w:pPr>
        <w:pStyle w:val="Compact"/>
        <w:numPr>
          <w:ilvl w:val="0"/>
          <w:numId w:val="1003"/>
        </w:numPr>
      </w:pPr>
      <w:r>
        <w:t xml:space="preserve">configurable RGB weighting from colour-space-aware photometric luminance;</w:t>
      </w:r>
    </w:p>
    <w:p>
      <w:pPr>
        <w:pStyle w:val="Compact"/>
        <w:numPr>
          <w:ilvl w:val="0"/>
          <w:numId w:val="1003"/>
        </w:numPr>
      </w:pPr>
      <w:r>
        <w:t xml:space="preserve">high test coverage from proven correctness;</w:t>
      </w:r>
    </w:p>
    <w:p>
      <w:pPr>
        <w:pStyle w:val="Compact"/>
        <w:numPr>
          <w:ilvl w:val="0"/>
          <w:numId w:val="1003"/>
        </w:numPr>
      </w:pPr>
      <w:r>
        <w:t xml:space="preserve">an observed benchmark result from universal performance superiority;</w:t>
      </w:r>
    </w:p>
    <w:p>
      <w:pPr>
        <w:pStyle w:val="Compact"/>
        <w:numPr>
          <w:ilvl w:val="0"/>
          <w:numId w:val="1003"/>
        </w:numPr>
      </w:pPr>
      <w:r>
        <w:t xml:space="preserve">shared code paths from experimentally demonstrated usability or workflow improvement.</w:t>
      </w:r>
    </w:p>
    <w:bookmarkEnd w:id="22"/>
    <w:bookmarkStart w:id="26" w:name="Xc26f117a32bc95e3ade238999e0cd04360131b2"/>
    <w:p>
      <w:pPr>
        <w:pStyle w:val="Heading1"/>
        <w:keepNext/>
        <w:keepLines/>
      </w:pPr>
      <w:r>
        <w:t xml:space="preserve">2. Project definition and defensible contribution</w:t>
      </w:r>
    </w:p>
    <w:bookmarkStart w:id="23" w:name="production-problem"/>
    <w:p>
      <w:pPr>
        <w:pStyle w:val="Heading2"/>
        <w:keepNext/>
        <w:keepLines/>
      </w:pPr>
      <w:r>
        <w:t xml:space="preserve">2.1 Production problem</w:t>
      </w:r>
    </w:p>
    <w:p>
      <w:pPr>
        <w:pStyle w:val="FirstParagraph"/>
      </w:pPr>
      <w:r>
        <w:t xml:space="preserve">Rendered VFX deliveries can contain problems that are technically important even when an EXR file can be opened successfully. Relevant examples include:</w:t>
      </w:r>
    </w:p>
    <w:p>
      <w:pPr>
        <w:pStyle w:val="Compact"/>
        <w:numPr>
          <w:ilvl w:val="0"/>
          <w:numId w:val="1004"/>
        </w:numPr>
      </w:pPr>
      <w:r>
        <w:t xml:space="preserve">missing expected AOVs;</w:t>
      </w:r>
    </w:p>
    <w:p>
      <w:pPr>
        <w:pStyle w:val="Compact"/>
        <w:numPr>
          <w:ilvl w:val="0"/>
          <w:numId w:val="1004"/>
        </w:numPr>
      </w:pPr>
      <w:r>
        <w:t xml:space="preserve">missing channels inside an AOV;</w:t>
      </w:r>
    </w:p>
    <w:p>
      <w:pPr>
        <w:pStyle w:val="Compact"/>
        <w:numPr>
          <w:ilvl w:val="0"/>
          <w:numId w:val="1004"/>
        </w:numPr>
      </w:pPr>
      <w:r>
        <w:t xml:space="preserve">empty or near-empty render components;</w:t>
      </w:r>
    </w:p>
    <w:p>
      <w:pPr>
        <w:pStyle w:val="Compact"/>
        <w:numPr>
          <w:ilvl w:val="0"/>
          <w:numId w:val="1004"/>
        </w:numPr>
      </w:pPr>
      <w:r>
        <w:t xml:space="preserve">NaN, positive infinity and negative infinity;</w:t>
      </w:r>
    </w:p>
    <w:p>
      <w:pPr>
        <w:pStyle w:val="Compact"/>
        <w:numPr>
          <w:ilvl w:val="0"/>
          <w:numId w:val="1004"/>
        </w:numPr>
      </w:pPr>
      <w:r>
        <w:t xml:space="preserve">negative values that may require contextual interpretation;</w:t>
      </w:r>
    </w:p>
    <w:p>
      <w:pPr>
        <w:pStyle w:val="Compact"/>
        <w:numPr>
          <w:ilvl w:val="0"/>
          <w:numId w:val="1004"/>
        </w:numPr>
      </w:pPr>
      <w:r>
        <w:t xml:space="preserve">constant channels;</w:t>
      </w:r>
    </w:p>
    <w:p>
      <w:pPr>
        <w:pStyle w:val="Compact"/>
        <w:numPr>
          <w:ilvl w:val="0"/>
          <w:numId w:val="1004"/>
        </w:numPr>
      </w:pPr>
      <w:r>
        <w:t xml:space="preserve">resolution mismatches;</w:t>
      </w:r>
    </w:p>
    <w:p>
      <w:pPr>
        <w:pStyle w:val="Compact"/>
        <w:numPr>
          <w:ilvl w:val="0"/>
          <w:numId w:val="1004"/>
        </w:numPr>
      </w:pPr>
      <w:r>
        <w:t xml:space="preserve">AOV structure changes across frames;</w:t>
      </w:r>
    </w:p>
    <w:p>
      <w:pPr>
        <w:pStyle w:val="Compact"/>
        <w:numPr>
          <w:ilvl w:val="0"/>
          <w:numId w:val="1004"/>
        </w:numPr>
      </w:pPr>
      <w:r>
        <w:t xml:space="preserve">missing frame numbers;</w:t>
      </w:r>
    </w:p>
    <w:p>
      <w:pPr>
        <w:pStyle w:val="Compact"/>
        <w:numPr>
          <w:ilvl w:val="0"/>
          <w:numId w:val="1004"/>
        </w:numPr>
      </w:pPr>
      <w:r>
        <w:t xml:space="preserve">duplicate frame numbers;</w:t>
      </w:r>
    </w:p>
    <w:p>
      <w:pPr>
        <w:pStyle w:val="Compact"/>
        <w:numPr>
          <w:ilvl w:val="0"/>
          <w:numId w:val="1004"/>
        </w:numPr>
      </w:pPr>
      <w:r>
        <w:t xml:space="preserve">inconsistent numerical padding.</w:t>
      </w:r>
    </w:p>
    <w:p>
      <w:pPr>
        <w:pStyle w:val="FirstParagraph"/>
      </w:pPr>
      <w:r>
        <w:t xml:space="preserve">AOVGuard is therefore positioned above basic file readability. It attempts to produce</w:t>
      </w:r>
      <w:r>
        <w:t xml:space="preserve"> </w:t>
      </w:r>
      <w:r>
        <w:rPr>
          <w:b/>
          <w:bCs/>
        </w:rPr>
        <w:t xml:space="preserve">technical findings and evidence for review</w:t>
      </w:r>
      <w:r>
        <w:t xml:space="preserve">, not artistic approval.</w:t>
      </w:r>
    </w:p>
    <w:bookmarkEnd w:id="23"/>
    <w:bookmarkStart w:id="24" w:name="recommended-contribution-statement"/>
    <w:p>
      <w:pPr>
        <w:pStyle w:val="Heading2"/>
        <w:keepNext/>
        <w:keepLines/>
      </w:pPr>
      <w:r>
        <w:t xml:space="preserve">2.2 Recommended contribution statement</w:t>
      </w:r>
    </w:p>
    <w:p>
      <w:pPr>
        <w:pStyle w:val="FirstParagraph"/>
      </w:pPr>
      <w:r>
        <w:t xml:space="preserve">A defensible thesis-level formulation is:</w:t>
      </w:r>
    </w:p>
    <w:p>
      <w:pPr>
        <w:pStyle w:val="BlockText"/>
      </w:pPr>
      <w:r>
        <w:t xml:space="preserve">AOVGuard does not propose a new image format, colour model or rendering algorithm. Its contribution lies in the design, implementation and evaluation of a focused validation architecture that combines automatic OpenEXR structure inspection, AOV-aware modelling, configurable technical rules, sequence-level checks, incremental frame-first processing and reproducible reporting for VFX render workflows.</w:t>
      </w:r>
    </w:p>
    <w:bookmarkEnd w:id="24"/>
    <w:bookmarkStart w:id="25" w:name="contribution-types"/>
    <w:p>
      <w:pPr>
        <w:pStyle w:val="Heading2"/>
        <w:keepNext/>
        <w:keepLines/>
        <w:pageBreakBefore/>
      </w:pPr>
      <w:r>
        <w:t xml:space="preserve">2.3 Contribution types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DCE6F1"/>
          </w:tcPr>
          <w:p>
            <w:pPr>
              <w:pStyle w:val="Compact"/>
              <w:spacing w:after="30" w:before="30"/>
              <w:jc w:val="left"/>
            </w:pPr>
            <w:r>
              <w:rPr>
                <w:rFonts w:ascii="Aptos" w:hAnsi="Aptos"/>
                <w:b/>
                <w:color w:val="17365D"/>
                <w:sz w:val="17"/>
              </w:rPr>
              <w:t xml:space="preserve">Type</w:t>
            </w:r>
          </w:p>
        </w:tc>
        <w:tc>
          <w:tcPr>
            <w:vAlign w:val="center"/>
            <w:shd w:fill="DCE6F1"/>
          </w:tcPr>
          <w:p>
            <w:pPr>
              <w:pStyle w:val="Compact"/>
              <w:spacing w:after="30" w:before="30"/>
              <w:jc w:val="left"/>
            </w:pPr>
            <w:r>
              <w:rPr>
                <w:rFonts w:ascii="Aptos" w:hAnsi="Aptos"/>
                <w:b/>
                <w:color w:val="17365D"/>
                <w:sz w:val="17"/>
              </w:rPr>
              <w:t xml:space="preserve">AOVGuard relationship</w:t>
            </w:r>
          </w:p>
        </w:tc>
      </w:tr>
      <w:tr>
        <w:tc>
          <w:tcPr>
            <w:vAlign w:val="center"/>
          </w:tcPr>
          <w:p>
            <w:pPr>
              <w:pStyle w:val="Compact"/>
              <w:spacing w:after="30" w:before="30"/>
              <w:jc w:val="left"/>
            </w:pPr>
            <w:r>
              <w:rPr>
                <w:rFonts w:ascii="Aptos" w:hAnsi="Aptos"/>
                <w:sz w:val="17"/>
              </w:rPr>
              <w:t xml:space="preserve">Existing theory</w:t>
            </w:r>
          </w:p>
        </w:tc>
        <w:tc>
          <w:tcPr>
            <w:vAlign w:val="center"/>
          </w:tcPr>
          <w:p>
            <w:pPr>
              <w:pStyle w:val="Compact"/>
              <w:spacing w:after="30" w:before="30"/>
              <w:jc w:val="left"/>
            </w:pPr>
            <w:r>
              <w:rPr>
                <w:rFonts w:ascii="Aptos" w:hAnsi="Aptos"/>
                <w:sz w:val="17"/>
              </w:rPr>
              <w:t xml:space="preserve">HDR imaging, RGB representations, weighted RGB metrics</w:t>
            </w:r>
          </w:p>
        </w:tc>
      </w:tr>
      <w:tr>
        <w:tc>
          <w:tcPr>
            <w:vAlign w:val="center"/>
          </w:tcPr>
          <w:p>
            <w:pPr>
              <w:pStyle w:val="Compact"/>
              <w:spacing w:after="30" w:before="30"/>
              <w:jc w:val="left"/>
            </w:pPr>
            <w:r>
              <w:rPr>
                <w:rFonts w:ascii="Aptos" w:hAnsi="Aptos"/>
                <w:sz w:val="17"/>
              </w:rPr>
              <w:t xml:space="preserve">Existing file format</w:t>
            </w:r>
          </w:p>
        </w:tc>
        <w:tc>
          <w:tcPr>
            <w:vAlign w:val="center"/>
          </w:tcPr>
          <w:p>
            <w:pPr>
              <w:pStyle w:val="Compact"/>
              <w:spacing w:after="30" w:before="30"/>
              <w:jc w:val="left"/>
            </w:pPr>
            <w:r>
              <w:rPr>
                <w:rFonts w:ascii="Aptos" w:hAnsi="Aptos"/>
                <w:sz w:val="17"/>
              </w:rPr>
              <w:t xml:space="preserve">OpenEXR</w:t>
            </w:r>
          </w:p>
        </w:tc>
      </w:tr>
      <w:tr>
        <w:tc>
          <w:tcPr>
            <w:vAlign w:val="center"/>
          </w:tcPr>
          <w:p>
            <w:pPr>
              <w:pStyle w:val="Compact"/>
              <w:spacing w:after="30" w:before="30"/>
              <w:jc w:val="left"/>
            </w:pPr>
            <w:r>
              <w:rPr>
                <w:rFonts w:ascii="Aptos" w:hAnsi="Aptos"/>
                <w:sz w:val="17"/>
              </w:rPr>
              <w:t xml:space="preserve">Existing production concept</w:t>
            </w:r>
          </w:p>
        </w:tc>
        <w:tc>
          <w:tcPr>
            <w:vAlign w:val="center"/>
          </w:tcPr>
          <w:p>
            <w:pPr>
              <w:pStyle w:val="Compact"/>
              <w:spacing w:after="30" w:before="30"/>
              <w:jc w:val="left"/>
            </w:pPr>
            <w:r>
              <w:rPr>
                <w:rFonts w:ascii="Aptos" w:hAnsi="Aptos"/>
                <w:sz w:val="17"/>
              </w:rPr>
              <w:t xml:space="preserve">AOVs / render passes</w:t>
            </w:r>
          </w:p>
        </w:tc>
      </w:tr>
      <w:tr>
        <w:tc>
          <w:tcPr>
            <w:vAlign w:val="center"/>
          </w:tcPr>
          <w:p>
            <w:pPr>
              <w:pStyle w:val="Compact"/>
              <w:spacing w:after="30" w:before="30"/>
              <w:jc w:val="left"/>
            </w:pPr>
            <w:r>
              <w:rPr>
                <w:rFonts w:ascii="Aptos" w:hAnsi="Aptos"/>
                <w:sz w:val="17"/>
              </w:rPr>
              <w:t xml:space="preserve">Existing technical methods</w:t>
            </w:r>
          </w:p>
        </w:tc>
        <w:tc>
          <w:tcPr>
            <w:vAlign w:val="center"/>
          </w:tcPr>
          <w:p>
            <w:pPr>
              <w:pStyle w:val="Compact"/>
              <w:spacing w:after="30" w:before="30"/>
              <w:jc w:val="left"/>
            </w:pPr>
            <w:r>
              <w:rPr>
                <w:rFonts w:ascii="Aptos" w:hAnsi="Aptos"/>
                <w:sz w:val="17"/>
              </w:rPr>
              <w:t xml:space="preserve">image statistics, validation rules, sequence checks</w:t>
            </w:r>
          </w:p>
        </w:tc>
      </w:tr>
      <w:tr>
        <w:tc>
          <w:tcPr>
            <w:vAlign w:val="center"/>
          </w:tcPr>
          <w:p>
            <w:pPr>
              <w:pStyle w:val="Compact"/>
              <w:spacing w:after="30" w:before="30"/>
              <w:jc w:val="left"/>
            </w:pPr>
            <w:r>
              <w:rPr>
                <w:rFonts w:ascii="Aptos" w:hAnsi="Aptos"/>
                <w:sz w:val="17"/>
              </w:rPr>
              <w:t xml:space="preserve">Existing production practice</w:t>
            </w:r>
          </w:p>
        </w:tc>
        <w:tc>
          <w:tcPr>
            <w:vAlign w:val="center"/>
          </w:tcPr>
          <w:p>
            <w:pPr>
              <w:pStyle w:val="Compact"/>
              <w:spacing w:after="30" w:before="30"/>
              <w:jc w:val="left"/>
            </w:pPr>
            <w:r>
              <w:rPr>
                <w:rFonts w:ascii="Aptos" w:hAnsi="Aptos"/>
                <w:sz w:val="17"/>
              </w:rPr>
              <w:t xml:space="preserve">automated QC / sanity checking</w:t>
            </w:r>
          </w:p>
        </w:tc>
      </w:tr>
      <w:tr>
        <w:tc>
          <w:tcPr>
            <w:vAlign w:val="center"/>
          </w:tcPr>
          <w:p>
            <w:pPr>
              <w:pStyle w:val="Compact"/>
              <w:spacing w:after="30" w:before="30"/>
              <w:jc w:val="left"/>
            </w:pPr>
            <w:r>
              <w:rPr>
                <w:rFonts w:ascii="Aptos" w:hAnsi="Aptos"/>
                <w:sz w:val="17"/>
              </w:rPr>
              <w:t xml:space="preserve">Engineering contribution</w:t>
            </w:r>
          </w:p>
        </w:tc>
        <w:tc>
          <w:tcPr>
            <w:vAlign w:val="center"/>
          </w:tcPr>
          <w:p>
            <w:pPr>
              <w:pStyle w:val="Compact"/>
              <w:spacing w:after="30" w:before="30"/>
              <w:jc w:val="left"/>
            </w:pPr>
            <w:r>
              <w:rPr>
                <w:rFonts w:ascii="Aptos" w:hAnsi="Aptos"/>
                <w:sz w:val="17"/>
              </w:rPr>
              <w:t xml:space="preserve">integration into an AOV-focused validation architecture</w:t>
            </w:r>
          </w:p>
        </w:tc>
      </w:tr>
      <w:tr>
        <w:tc>
          <w:tcPr>
            <w:vAlign w:val="center"/>
          </w:tcPr>
          <w:p>
            <w:pPr>
              <w:pStyle w:val="Compact"/>
              <w:spacing w:after="30" w:before="30"/>
              <w:jc w:val="left"/>
            </w:pPr>
            <w:r>
              <w:rPr>
                <w:rFonts w:ascii="Aptos" w:hAnsi="Aptos"/>
                <w:sz w:val="17"/>
              </w:rPr>
              <w:t xml:space="preserve">Design contribution</w:t>
            </w:r>
          </w:p>
        </w:tc>
        <w:tc>
          <w:tcPr>
            <w:vAlign w:val="center"/>
          </w:tcPr>
          <w:p>
            <w:pPr>
              <w:pStyle w:val="Compact"/>
              <w:spacing w:after="30" w:before="30"/>
              <w:jc w:val="left"/>
            </w:pPr>
            <w:r>
              <w:rPr>
                <w:rFonts w:ascii="Aptos" w:hAnsi="Aptos"/>
                <w:sz w:val="17"/>
              </w:rPr>
              <w:t xml:space="preserve">automatic structural model + configurable rule workflow + shared report model</w:t>
            </w:r>
          </w:p>
        </w:tc>
      </w:tr>
      <w:tr>
        <w:tc>
          <w:tcPr>
            <w:vAlign w:val="center"/>
          </w:tcPr>
          <w:p>
            <w:pPr>
              <w:pStyle w:val="Compact"/>
              <w:spacing w:after="30" w:before="30"/>
              <w:jc w:val="left"/>
            </w:pPr>
            <w:r>
              <w:rPr>
                <w:rFonts w:ascii="Aptos" w:hAnsi="Aptos"/>
                <w:sz w:val="17"/>
              </w:rPr>
              <w:t xml:space="preserve">Experimental contribution</w:t>
            </w:r>
          </w:p>
        </w:tc>
        <w:tc>
          <w:tcPr>
            <w:vAlign w:val="center"/>
          </w:tcPr>
          <w:p>
            <w:pPr>
              <w:pStyle w:val="Compact"/>
              <w:spacing w:after="30" w:before="30"/>
              <w:jc w:val="left"/>
            </w:pPr>
            <w:r>
              <w:rPr>
                <w:rFonts w:ascii="Aptos" w:hAnsi="Aptos"/>
                <w:sz w:val="17"/>
              </w:rPr>
              <w:t xml:space="preserve">recorded AOV-first vs frame-first comparison</w:t>
            </w:r>
          </w:p>
        </w:tc>
      </w:tr>
      <w:tr>
        <w:tc>
          <w:tcPr>
            <w:vAlign w:val="center"/>
          </w:tcPr>
          <w:p>
            <w:pPr>
              <w:pStyle w:val="Compact"/>
              <w:spacing w:after="30" w:before="30"/>
              <w:jc w:val="left"/>
            </w:pPr>
            <w:r>
              <w:rPr>
                <w:rFonts w:ascii="Aptos" w:hAnsi="Aptos"/>
                <w:sz w:val="17"/>
              </w:rPr>
              <w:t xml:space="preserve">Verification evidence</w:t>
            </w:r>
          </w:p>
        </w:tc>
        <w:tc>
          <w:tcPr>
            <w:vAlign w:val="center"/>
          </w:tcPr>
          <w:p>
            <w:pPr>
              <w:pStyle w:val="Compact"/>
              <w:spacing w:after="30" w:before="30"/>
              <w:jc w:val="left"/>
            </w:pPr>
            <w:r>
              <w:rPr>
                <w:rFonts w:ascii="Aptos" w:hAnsi="Aptos"/>
                <w:sz w:val="17"/>
              </w:rPr>
              <w:t xml:space="preserve">automated tests, branch coverage, generated fixtures, reports and real-EXR evidence</w:t>
            </w:r>
          </w:p>
        </w:tc>
      </w:tr>
    </w:tbl>
    <w:bookmarkEnd w:id="25"/>
    <w:bookmarkEnd w:id="26"/>
    <w:bookmarkStart w:id="29" w:name="verified-architecture-in-the-release"/>
    <w:p>
      <w:pPr>
        <w:pStyle w:val="Heading1"/>
        <w:keepNext/>
        <w:keepLines/>
      </w:pPr>
      <w:r>
        <w:t xml:space="preserve">3. Verified architecture in the release</w:t>
      </w:r>
    </w:p>
    <w:p>
      <w:pPr>
        <w:pStyle w:val="FirstParagraph"/>
      </w:pPr>
      <w:r>
        <w:t xml:space="preserve">The release implements the following principal flow:</w:t>
      </w:r>
    </w:p>
    <w:p>
      <w:pPr>
        <w:pStyle w:val="SourceCode"/>
      </w:pPr>
      <w:r>
        <w:rPr>
          <w:rStyle w:val="VerbatimChar"/>
        </w:rPr>
        <w:t xml:space="preserve">EXR file or folder</w:t>
      </w:r>
      <w:r>
        <w:br/>
      </w:r>
      <w:r>
        <w:rPr>
          <w:rStyle w:val="VerbatimChar"/>
        </w:rPr>
        <w:t xml:space="preserve">    -&gt; frame discovery</w:t>
      </w:r>
      <w:r>
        <w:br/>
      </w:r>
      <w:r>
        <w:rPr>
          <w:rStyle w:val="VerbatimChar"/>
        </w:rPr>
        <w:t xml:space="preserve">    -&gt; OpenEXRReader</w:t>
      </w:r>
      <w:r>
        <w:br/>
      </w:r>
      <w:r>
        <w:rPr>
          <w:rStyle w:val="VerbatimChar"/>
        </w:rPr>
        <w:t xml:space="preserve">    -&gt; FileInspection + FrameData</w:t>
      </w:r>
      <w:r>
        <w:br/>
      </w:r>
      <w:r>
        <w:rPr>
          <w:rStyle w:val="VerbatimChar"/>
        </w:rPr>
        <w:t xml:space="preserve">    -&gt; inferred AOV descriptors</w:t>
      </w:r>
      <w:r>
        <w:br/>
      </w:r>
      <w:r>
        <w:rPr>
          <w:rStyle w:val="VerbatimChar"/>
        </w:rPr>
        <w:t xml:space="preserve">    -&gt; canonical RGB colour AOV arrays</w:t>
      </w:r>
      <w:r>
        <w:br/>
      </w:r>
      <w:r>
        <w:rPr>
          <w:rStyle w:val="VerbatimChar"/>
        </w:rPr>
        <w:t xml:space="preserve">    -&gt; incremental frame/channel/aggregate metrics</w:t>
      </w:r>
      <w:r>
        <w:br/>
      </w:r>
      <w:r>
        <w:rPr>
          <w:rStyle w:val="VerbatimChar"/>
        </w:rPr>
        <w:t xml:space="preserve">    -&gt; sequence findings + configurable validation rules</w:t>
      </w:r>
      <w:r>
        <w:br/>
      </w:r>
      <w:r>
        <w:rPr>
          <w:rStyle w:val="VerbatimChar"/>
        </w:rPr>
        <w:t xml:space="preserve">    -&gt; AnalysisReport</w:t>
      </w:r>
      <w:r>
        <w:br/>
      </w:r>
      <w:r>
        <w:rPr>
          <w:rStyle w:val="VerbatimChar"/>
        </w:rPr>
        <w:t xml:space="preserve">    -&gt; CLI / GUI / JSON / HTML</w:t>
      </w:r>
    </w:p>
    <w:bookmarkStart w:id="28" w:name="core-data-model"/>
    <w:p>
      <w:pPr>
        <w:pStyle w:val="Heading2"/>
        <w:keepNext/>
        <w:keepLines/>
      </w:pPr>
      <w:r>
        <w:t xml:space="preserve">3.1 Core data model</w:t>
      </w:r>
    </w:p>
    <w:p>
      <w:pPr>
        <w:pStyle w:val="FirstParagraph"/>
      </w:pPr>
      <w:r>
        <w:rPr>
          <w:b/>
          <w:bCs/>
        </w:rPr>
        <w:t xml:space="preserve">Primary code:</w:t>
      </w:r>
      <w:r>
        <w:t xml:space="preserve"> </w:t>
      </w:r>
      <w:r>
        <w:rPr>
          <w:rStyle w:val="VerbatimChar"/>
        </w:rPr>
        <w:t xml:space="preserve">src/aovguard/core/models.py</w:t>
      </w:r>
    </w:p>
    <w:p>
      <w:pPr>
        <w:pStyle w:val="BodyText"/>
      </w:pPr>
      <w:r>
        <w:t xml:space="preserve">Important confirmed elements:</w:t>
      </w:r>
    </w:p>
    <w:p>
      <w:pPr>
        <w:pStyle w:val="Compact"/>
        <w:numPr>
          <w:ilvl w:val="0"/>
          <w:numId w:val="1005"/>
        </w:numPr>
      </w:pPr>
      <w:r>
        <w:rPr>
          <w:rStyle w:val="VerbatimChar"/>
        </w:rPr>
        <w:t xml:space="preserve">AOVCategory</w:t>
      </w:r>
      <w:r>
        <w:t xml:space="preserve"> </w:t>
      </w:r>
      <w:r>
        <w:t xml:space="preserve">defines</w:t>
      </w:r>
      <w:r>
        <w:t xml:space="preserve"> </w:t>
      </w:r>
      <w:r>
        <w:rPr>
          <w:rStyle w:val="VerbatimChar"/>
        </w:rPr>
        <w:t xml:space="preserve">color</w:t>
      </w:r>
      <w:r>
        <w:t xml:space="preserve">,</w:t>
      </w:r>
      <w:r>
        <w:t xml:space="preserve"> </w:t>
      </w:r>
      <w:r>
        <w:rPr>
          <w:rStyle w:val="VerbatimChar"/>
        </w:rPr>
        <w:t xml:space="preserve">scalar</w:t>
      </w:r>
      <w:r>
        <w:t xml:space="preserve">,</w:t>
      </w:r>
      <w:r>
        <w:t xml:space="preserve"> </w:t>
      </w:r>
      <w:r>
        <w:rPr>
          <w:rStyle w:val="VerbatimChar"/>
        </w:rPr>
        <w:t xml:space="preserve">vector</w:t>
      </w:r>
      <w:r>
        <w:t xml:space="preserve">,</w:t>
      </w:r>
      <w:r>
        <w:t xml:space="preserve"> </w:t>
      </w:r>
      <w:r>
        <w:rPr>
          <w:rStyle w:val="VerbatimChar"/>
        </w:rPr>
        <w:t xml:space="preserve">mask</w:t>
      </w:r>
      <w:r>
        <w:t xml:space="preserve">,</w:t>
      </w:r>
      <w:r>
        <w:t xml:space="preserve"> </w:t>
      </w:r>
      <w:r>
        <w:rPr>
          <w:rStyle w:val="VerbatimChar"/>
        </w:rPr>
        <w:t xml:space="preserve">depth</w:t>
      </w:r>
      <w:r>
        <w:t xml:space="preserve">, and</w:t>
      </w:r>
      <w:r>
        <w:t xml:space="preserve"> </w:t>
      </w:r>
      <w:r>
        <w:rPr>
          <w:rStyle w:val="VerbatimChar"/>
        </w:rPr>
        <w:t xml:space="preserve">unknown</w:t>
      </w:r>
      <w:r>
        <w:t xml:space="preserve"> </w:t>
      </w:r>
      <w:r>
        <w:t xml:space="preserve">(</w:t>
      </w:r>
      <w:r>
        <w:rPr>
          <w:rStyle w:val="VerbatimChar"/>
        </w:rPr>
        <w:t xml:space="preserve">models.py:18-24</w:t>
      </w:r>
      <w:r>
        <w:t xml:space="preserve">).</w:t>
      </w:r>
    </w:p>
    <w:p>
      <w:pPr>
        <w:pStyle w:val="Compact"/>
        <w:numPr>
          <w:ilvl w:val="0"/>
          <w:numId w:val="1005"/>
        </w:numPr>
      </w:pPr>
      <w:r>
        <w:rPr>
          <w:rStyle w:val="VerbatimChar"/>
        </w:rPr>
        <w:t xml:space="preserve">AOVDescriptor</w:t>
      </w:r>
      <w:r>
        <w:t xml:space="preserve"> </w:t>
      </w:r>
      <w:r>
        <w:t xml:space="preserve">stores name, channels, category and</w:t>
      </w:r>
      <w:r>
        <w:t xml:space="preserve"> </w:t>
      </w:r>
      <w:r>
        <w:rPr>
          <w:rStyle w:val="VerbatimChar"/>
        </w:rPr>
        <w:t xml:space="preserve">category_confidence</w:t>
      </w:r>
      <w:r>
        <w:t xml:space="preserve"> </w:t>
      </w:r>
      <w:r>
        <w:t xml:space="preserve">(</w:t>
      </w:r>
      <w:r>
        <w:rPr>
          <w:rStyle w:val="VerbatimChar"/>
        </w:rPr>
        <w:t xml:space="preserve">models.py:27-32</w:t>
      </w:r>
      <w:r>
        <w:t xml:space="preserve">).</w:t>
      </w:r>
    </w:p>
    <w:p>
      <w:pPr>
        <w:pStyle w:val="Compact"/>
        <w:numPr>
          <w:ilvl w:val="0"/>
          <w:numId w:val="1005"/>
        </w:numPr>
      </w:pPr>
      <w:r>
        <w:rPr>
          <w:rStyle w:val="VerbatimChar"/>
        </w:rPr>
        <w:t xml:space="preserve">FileInspection</w:t>
      </w:r>
      <w:r>
        <w:t xml:space="preserve"> </w:t>
      </w:r>
      <w:r>
        <w:t xml:space="preserve">stores path, dimensions, channel list, inferred AOV descriptors, part count, deep status and warnings (</w:t>
      </w:r>
      <w:r>
        <w:rPr>
          <w:rStyle w:val="VerbatimChar"/>
        </w:rPr>
        <w:t xml:space="preserve">models.py:35-44</w:t>
      </w:r>
      <w:r>
        <w:t xml:space="preserve">).</w:t>
      </w:r>
    </w:p>
    <w:p>
      <w:pPr>
        <w:pStyle w:val="Compact"/>
        <w:numPr>
          <w:ilvl w:val="0"/>
          <w:numId w:val="1005"/>
        </w:numPr>
      </w:pPr>
      <w:r>
        <w:rPr>
          <w:rStyle w:val="VerbatimChar"/>
        </w:rPr>
        <w:t xml:space="preserve">unsupported_reason</w:t>
      </w:r>
      <w:r>
        <w:t xml:space="preserve"> </w:t>
      </w:r>
      <w:r>
        <w:t xml:space="preserve">explicitly rejects deep data and multipart data beyond the MVP (</w:t>
      </w:r>
      <w:r>
        <w:rPr>
          <w:rStyle w:val="VerbatimChar"/>
        </w:rPr>
        <w:t xml:space="preserve">models.py:46-52</w:t>
      </w:r>
      <w:r>
        <w:t xml:space="preserve">).</w:t>
      </w:r>
    </w:p>
    <w:p>
      <w:pPr>
        <w:pStyle w:val="Compact"/>
        <w:numPr>
          <w:ilvl w:val="0"/>
          <w:numId w:val="1005"/>
        </w:numPr>
      </w:pPr>
      <w:r>
        <w:rPr>
          <w:rStyle w:val="VerbatimChar"/>
        </w:rPr>
        <w:t xml:space="preserve">FrameData</w:t>
      </w:r>
      <w:r>
        <w:t xml:space="preserve"> </w:t>
      </w:r>
      <w:r>
        <w:t xml:space="preserve">holds one frame’s inspection and AOV arrays (</w:t>
      </w:r>
      <w:r>
        <w:rPr>
          <w:rStyle w:val="VerbatimChar"/>
        </w:rPr>
        <w:t xml:space="preserve">models.py:55-65</w:t>
      </w:r>
      <w:r>
        <w:t xml:space="preserve">).</w:t>
      </w:r>
    </w:p>
    <w:p>
      <w:pPr>
        <w:pStyle w:val="Compact"/>
        <w:numPr>
          <w:ilvl w:val="0"/>
          <w:numId w:val="1005"/>
        </w:numPr>
      </w:pPr>
      <w:r>
        <w:rPr>
          <w:rStyle w:val="VerbatimChar"/>
        </w:rPr>
        <w:t xml:space="preserve">MetricSet</w:t>
      </w:r>
      <w:r>
        <w:t xml:space="preserve"> </w:t>
      </w:r>
      <w:r>
        <w:t xml:space="preserve">stores non-black ratio, average/max weighted RGB metric, pixel count and separate NaN/+Inf/-Inf counts (</w:t>
      </w:r>
      <w:r>
        <w:rPr>
          <w:rStyle w:val="VerbatimChar"/>
        </w:rPr>
        <w:t xml:space="preserve">models.py:68-88</w:t>
      </w:r>
      <w:r>
        <w:t xml:space="preserve">).</w:t>
      </w:r>
    </w:p>
    <w:p>
      <w:pPr>
        <w:pStyle w:val="Compact"/>
        <w:numPr>
          <w:ilvl w:val="0"/>
          <w:numId w:val="1005"/>
        </w:numPr>
      </w:pPr>
      <w:r>
        <w:rPr>
          <w:rStyle w:val="VerbatimChar"/>
        </w:rPr>
        <w:t xml:space="preserve">ChannelMetricSet</w:t>
      </w:r>
      <w:r>
        <w:t xml:space="preserve"> </w:t>
      </w:r>
      <w:r>
        <w:t xml:space="preserve">adds channel min/max/mean, negative counts and constant detection (</w:t>
      </w:r>
      <w:r>
        <w:rPr>
          <w:rStyle w:val="VerbatimChar"/>
        </w:rPr>
        <w:t xml:space="preserve">models.py:91-112</w:t>
      </w:r>
      <w:r>
        <w:t xml:space="preserve">).</w:t>
      </w:r>
    </w:p>
    <w:p>
      <w:pPr>
        <w:pStyle w:val="Compact"/>
        <w:numPr>
          <w:ilvl w:val="0"/>
          <w:numId w:val="1005"/>
        </w:numPr>
      </w:pPr>
      <w:r>
        <w:rPr>
          <w:rStyle w:val="VerbatimChar"/>
        </w:rPr>
        <w:t xml:space="preserve">AnalysisReport</w:t>
      </w:r>
      <w:r>
        <w:t xml:space="preserve"> </w:t>
      </w:r>
      <w:r>
        <w:t xml:space="preserve">stores discovered frames, successful/failed frames, inspections, metrics, findings, rules executed, sequence result and per-frame/channel metrics (</w:t>
      </w:r>
      <w:r>
        <w:rPr>
          <w:rStyle w:val="VerbatimChar"/>
        </w:rPr>
        <w:t xml:space="preserve">models.py:186 onwards</w:t>
      </w:r>
      <w:r>
        <w:t xml:space="preserve">).</w:t>
      </w:r>
    </w:p>
    <w:bookmarkStart w:id="27" w:name="interpretation"/>
    <w:p>
      <w:pPr>
        <w:pStyle w:val="Heading3"/>
        <w:keepNext/>
        <w:keepLines/>
      </w:pPr>
      <w:r>
        <w:t xml:space="preserve">Interpretation</w:t>
      </w:r>
    </w:p>
    <w:p>
      <w:pPr>
        <w:pStyle w:val="FirstParagraph"/>
      </w:pPr>
      <w:r>
        <w:t xml:space="preserve">This is a significant improvement over a UI-driven design because domain concepts are represented independently of CLI or GUI presentation.</w:t>
      </w:r>
    </w:p>
    <w:bookmarkEnd w:id="27"/>
    <w:bookmarkEnd w:id="28"/>
    <w:bookmarkEnd w:id="29"/>
    <w:bookmarkStart w:id="34" w:name="X4eba8a6767ed8009123430f25a47dae758b9092"/>
    <w:p>
      <w:pPr>
        <w:pStyle w:val="Heading1"/>
        <w:keepNext/>
        <w:keepLines/>
      </w:pPr>
      <w:r>
        <w:t xml:space="preserve">4. Automatic EXR structure inspection and AOV inference</w:t>
      </w:r>
    </w:p>
    <w:p>
      <w:pPr>
        <w:pStyle w:val="FirstParagraph"/>
      </w:pPr>
      <w:r>
        <w:rPr>
          <w:b/>
          <w:bCs/>
        </w:rPr>
        <w:t xml:space="preserve">Primary code:</w:t>
      </w:r>
      <w:r>
        <w:t xml:space="preserve"> </w:t>
      </w:r>
      <w:r>
        <w:rPr>
          <w:rStyle w:val="VerbatimChar"/>
        </w:rPr>
        <w:t xml:space="preserve">src/aovguard/io/inspector.py</w:t>
      </w:r>
    </w:p>
    <w:bookmarkStart w:id="30" w:name="confirmed-behaviour"/>
    <w:p>
      <w:pPr>
        <w:pStyle w:val="Heading2"/>
        <w:keepNext/>
        <w:keepLines/>
      </w:pPr>
      <w:r>
        <w:t xml:space="preserve">4.1 Confirmed behaviour</w:t>
      </w:r>
    </w:p>
    <w:p>
      <w:pPr>
        <w:pStyle w:val="FirstParagraph"/>
      </w:pPr>
      <w:r>
        <w:t xml:space="preserve">The inspector uses channel names and channel suffixes to build approximate AOV descriptors.</w:t>
      </w:r>
    </w:p>
    <w:p>
      <w:pPr>
        <w:pStyle w:val="BodyText"/>
      </w:pPr>
      <w:r>
        <w:t xml:space="preserve">Important mechanisms include:</w:t>
      </w:r>
    </w:p>
    <w:p>
      <w:pPr>
        <w:pStyle w:val="Compact"/>
        <w:numPr>
          <w:ilvl w:val="0"/>
          <w:numId w:val="1006"/>
        </w:numPr>
      </w:pPr>
      <w:r>
        <w:t xml:space="preserve">RGB suffix aliases (</w:t>
      </w:r>
      <w:r>
        <w:rPr>
          <w:rStyle w:val="VerbatimChar"/>
        </w:rPr>
        <w:t xml:space="preserve">R</w:t>
      </w:r>
      <w:r>
        <w:t xml:space="preserve">,</w:t>
      </w:r>
      <w:r>
        <w:t xml:space="preserve"> </w:t>
      </w:r>
      <w:r>
        <w:rPr>
          <w:rStyle w:val="VerbatimChar"/>
        </w:rPr>
        <w:t xml:space="preserve">G</w:t>
      </w:r>
      <w:r>
        <w:t xml:space="preserve">,</w:t>
      </w:r>
      <w:r>
        <w:t xml:space="preserve"> </w:t>
      </w:r>
      <w:r>
        <w:rPr>
          <w:rStyle w:val="VerbatimChar"/>
        </w:rPr>
        <w:t xml:space="preserve">B</w:t>
      </w:r>
      <w:r>
        <w:t xml:space="preserve">, plus textual aliases) (</w:t>
      </w:r>
      <w:r>
        <w:rPr>
          <w:rStyle w:val="VerbatimChar"/>
        </w:rPr>
        <w:t xml:space="preserve">inspector.py:9</w:t>
      </w:r>
      <w:r>
        <w:t xml:space="preserve">).</w:t>
      </w:r>
    </w:p>
    <w:p>
      <w:pPr>
        <w:pStyle w:val="Compact"/>
        <w:numPr>
          <w:ilvl w:val="0"/>
          <w:numId w:val="1006"/>
        </w:numPr>
      </w:pPr>
      <w:r>
        <w:t xml:space="preserve">XYZ vector suffix detection (</w:t>
      </w:r>
      <w:r>
        <w:rPr>
          <w:rStyle w:val="VerbatimChar"/>
        </w:rPr>
        <w:t xml:space="preserve">inspector.py:10</w:t>
      </w:r>
      <w:r>
        <w:t xml:space="preserve">).</w:t>
      </w:r>
    </w:p>
    <w:p>
      <w:pPr>
        <w:pStyle w:val="Compact"/>
        <w:numPr>
          <w:ilvl w:val="0"/>
          <w:numId w:val="1006"/>
        </w:numPr>
      </w:pPr>
      <w:r>
        <w:t xml:space="preserve">known depth names such as</w:t>
      </w:r>
      <w:r>
        <w:t xml:space="preserve"> </w:t>
      </w:r>
      <w:r>
        <w:rPr>
          <w:rStyle w:val="VerbatimChar"/>
        </w:rPr>
        <w:t xml:space="preserve">z</w:t>
      </w:r>
      <w:r>
        <w:t xml:space="preserve">,</w:t>
      </w:r>
      <w:r>
        <w:t xml:space="preserve"> </w:t>
      </w:r>
      <w:r>
        <w:rPr>
          <w:rStyle w:val="VerbatimChar"/>
        </w:rPr>
        <w:t xml:space="preserve">depth</w:t>
      </w:r>
      <w:r>
        <w:t xml:space="preserve">,</w:t>
      </w:r>
      <w:r>
        <w:t xml:space="preserve"> </w:t>
      </w:r>
      <w:r>
        <w:rPr>
          <w:rStyle w:val="VerbatimChar"/>
        </w:rPr>
        <w:t xml:space="preserve">depthz</w:t>
      </w:r>
      <w:r>
        <w:t xml:space="preserve"> </w:t>
      </w:r>
      <w:r>
        <w:t xml:space="preserve">(</w:t>
      </w:r>
      <w:r>
        <w:rPr>
          <w:rStyle w:val="VerbatimChar"/>
        </w:rPr>
        <w:t xml:space="preserve">inspector.py:12</w:t>
      </w:r>
      <w:r>
        <w:t xml:space="preserve">).</w:t>
      </w:r>
    </w:p>
    <w:p>
      <w:pPr>
        <w:pStyle w:val="Compact"/>
        <w:numPr>
          <w:ilvl w:val="0"/>
          <w:numId w:val="1006"/>
        </w:numPr>
      </w:pPr>
      <w:r>
        <w:t xml:space="preserve">known vector names such as</w:t>
      </w:r>
      <w:r>
        <w:t xml:space="preserve"> </w:t>
      </w:r>
      <w:r>
        <w:rPr>
          <w:rStyle w:val="VerbatimChar"/>
        </w:rPr>
        <w:t xml:space="preserve">n</w:t>
      </w:r>
      <w:r>
        <w:t xml:space="preserve">,</w:t>
      </w:r>
      <w:r>
        <w:t xml:space="preserve"> </w:t>
      </w:r>
      <w:r>
        <w:rPr>
          <w:rStyle w:val="VerbatimChar"/>
        </w:rPr>
        <w:t xml:space="preserve">normal</w:t>
      </w:r>
      <w:r>
        <w:t xml:space="preserve">,</w:t>
      </w:r>
      <w:r>
        <w:t xml:space="preserve"> </w:t>
      </w:r>
      <w:r>
        <w:rPr>
          <w:rStyle w:val="VerbatimChar"/>
        </w:rPr>
        <w:t xml:space="preserve">p</w:t>
      </w:r>
      <w:r>
        <w:t xml:space="preserve">,</w:t>
      </w:r>
      <w:r>
        <w:t xml:space="preserve"> </w:t>
      </w:r>
      <w:r>
        <w:rPr>
          <w:rStyle w:val="VerbatimChar"/>
        </w:rPr>
        <w:t xml:space="preserve">position</w:t>
      </w:r>
      <w:r>
        <w:t xml:space="preserve">,</w:t>
      </w:r>
      <w:r>
        <w:t xml:space="preserve"> </w:t>
      </w:r>
      <w:r>
        <w:rPr>
          <w:rStyle w:val="VerbatimChar"/>
        </w:rPr>
        <w:t xml:space="preserve">worldnormal</w:t>
      </w:r>
      <w:r>
        <w:t xml:space="preserve">,</w:t>
      </w:r>
      <w:r>
        <w:t xml:space="preserve"> </w:t>
      </w:r>
      <w:r>
        <w:rPr>
          <w:rStyle w:val="VerbatimChar"/>
        </w:rPr>
        <w:t xml:space="preserve">worldposition</w:t>
      </w:r>
      <w:r>
        <w:t xml:space="preserve"> </w:t>
      </w:r>
      <w:r>
        <w:t xml:space="preserve">(</w:t>
      </w:r>
      <w:r>
        <w:rPr>
          <w:rStyle w:val="VerbatimChar"/>
        </w:rPr>
        <w:t xml:space="preserve">inspector.py:13</w:t>
      </w:r>
      <w:r>
        <w:t xml:space="preserve">).</w:t>
      </w:r>
    </w:p>
    <w:p>
      <w:pPr>
        <w:pStyle w:val="Compact"/>
        <w:numPr>
          <w:ilvl w:val="0"/>
          <w:numId w:val="1006"/>
        </w:numPr>
      </w:pPr>
      <w:r>
        <w:t xml:space="preserve">mask-related names (</w:t>
      </w:r>
      <w:r>
        <w:rPr>
          <w:rStyle w:val="VerbatimChar"/>
        </w:rPr>
        <w:t xml:space="preserve">inspector.py:14</w:t>
      </w:r>
      <w:r>
        <w:t xml:space="preserve">).</w:t>
      </w:r>
    </w:p>
    <w:p>
      <w:pPr>
        <w:pStyle w:val="Compact"/>
        <w:numPr>
          <w:ilvl w:val="0"/>
          <w:numId w:val="1006"/>
        </w:numPr>
      </w:pPr>
      <w:r>
        <w:t xml:space="preserve">category confidence labels such as</w:t>
      </w:r>
      <w:r>
        <w:t xml:space="preserve"> </w:t>
      </w:r>
      <w:r>
        <w:rPr>
          <w:rStyle w:val="VerbatimChar"/>
        </w:rPr>
        <w:t xml:space="preserve">known_depth_name</w:t>
      </w:r>
      <w:r>
        <w:t xml:space="preserve">,</w:t>
      </w:r>
      <w:r>
        <w:t xml:space="preserve"> </w:t>
      </w:r>
      <w:r>
        <w:rPr>
          <w:rStyle w:val="VerbatimChar"/>
        </w:rPr>
        <w:t xml:space="preserve">known_vector_name</w:t>
      </w:r>
      <w:r>
        <w:t xml:space="preserve">,</w:t>
      </w:r>
      <w:r>
        <w:t xml:space="preserve"> </w:t>
      </w:r>
      <w:r>
        <w:rPr>
          <w:rStyle w:val="VerbatimChar"/>
        </w:rPr>
        <w:t xml:space="preserve">rgb_channels</w:t>
      </w:r>
      <w:r>
        <w:t xml:space="preserve">,</w:t>
      </w:r>
      <w:r>
        <w:t xml:space="preserve"> </w:t>
      </w:r>
      <w:r>
        <w:rPr>
          <w:rStyle w:val="VerbatimChar"/>
        </w:rPr>
        <w:t xml:space="preserve">xyz_channels</w:t>
      </w:r>
      <w:r>
        <w:t xml:space="preserve">,</w:t>
      </w:r>
      <w:r>
        <w:t xml:space="preserve"> </w:t>
      </w:r>
      <w:r>
        <w:rPr>
          <w:rStyle w:val="VerbatimChar"/>
        </w:rPr>
        <w:t xml:space="preserve">single_root_channel</w:t>
      </w:r>
      <w:r>
        <w:t xml:space="preserve">, and</w:t>
      </w:r>
      <w:r>
        <w:t xml:space="preserve"> </w:t>
      </w:r>
      <w:r>
        <w:rPr>
          <w:rStyle w:val="VerbatimChar"/>
        </w:rPr>
        <w:t xml:space="preserve">insufficient_evidence</w:t>
      </w:r>
      <w:r>
        <w:t xml:space="preserve"> </w:t>
      </w:r>
      <w:r>
        <w:t xml:space="preserve">(</w:t>
      </w:r>
      <w:r>
        <w:rPr>
          <w:rStyle w:val="VerbatimChar"/>
        </w:rPr>
        <w:t xml:space="preserve">inspector.py:61-138</w:t>
      </w:r>
      <w:r>
        <w:t xml:space="preserve">).</w:t>
      </w:r>
    </w:p>
    <w:p>
      <w:pPr>
        <w:pStyle w:val="Compact"/>
        <w:numPr>
          <w:ilvl w:val="0"/>
          <w:numId w:val="1006"/>
        </w:numPr>
      </w:pPr>
      <w:r>
        <w:t xml:space="preserve">root RGB channels are represented as a</w:t>
      </w:r>
      <w:r>
        <w:t xml:space="preserve"> </w:t>
      </w:r>
      <w:r>
        <w:rPr>
          <w:rStyle w:val="VerbatimChar"/>
        </w:rPr>
        <w:t xml:space="preserve">beauty</w:t>
      </w:r>
      <w:r>
        <w:t xml:space="preserve"> </w:t>
      </w:r>
      <w:r>
        <w:t xml:space="preserve">colour AOV (</w:t>
      </w:r>
      <w:r>
        <w:rPr>
          <w:rStyle w:val="VerbatimChar"/>
        </w:rPr>
        <w:t xml:space="preserve">inspector.py:141-177</w:t>
      </w:r>
      <w:r>
        <w:t xml:space="preserve">).</w:t>
      </w:r>
    </w:p>
    <w:bookmarkEnd w:id="30"/>
    <w:bookmarkStart w:id="31" w:name="why-this-matters"/>
    <w:p>
      <w:pPr>
        <w:pStyle w:val="Heading2"/>
        <w:keepNext/>
        <w:keepLines/>
      </w:pPr>
      <w:r>
        <w:t xml:space="preserve">4.2 Why this matters</w:t>
      </w:r>
    </w:p>
    <w:p>
      <w:pPr>
        <w:pStyle w:val="FirstParagraph"/>
      </w:pPr>
      <w:r>
        <w:t xml:space="preserve">The original prototype required the user to choose between Simple and Multilayer analysis. The current design instead derives an approximate model from file structure. This removes one manual mode decision and gives the rest of the application one common inspection representation.</w:t>
      </w:r>
    </w:p>
    <w:bookmarkEnd w:id="31"/>
    <w:bookmarkStart w:id="32" w:name="academic-caution"/>
    <w:p>
      <w:pPr>
        <w:pStyle w:val="Heading2"/>
        <w:keepNext/>
        <w:keepLines/>
      </w:pPr>
      <w:r>
        <w:t xml:space="preserve">4.3 Academic caution</w:t>
      </w:r>
    </w:p>
    <w:p>
      <w:pPr>
        <w:pStyle w:val="FirstParagraph"/>
      </w:pPr>
      <w:r>
        <w:t xml:space="preserve">This is</w:t>
      </w:r>
      <w:r>
        <w:t xml:space="preserve"> </w:t>
      </w:r>
      <w:r>
        <w:rPr>
          <w:b/>
          <w:bCs/>
        </w:rPr>
        <w:t xml:space="preserve">heuristic classification</w:t>
      </w:r>
      <w:r>
        <w:t xml:space="preserve">, not semantic ground truth. A channel group can look structurally like a vector or colour AOV while having show-specific semantics unknown to AOVGuard.</w:t>
      </w:r>
    </w:p>
    <w:p>
      <w:pPr>
        <w:pStyle w:val="BodyText"/>
      </w:pPr>
      <w:r>
        <w:t xml:space="preserve">Recommended wording:</w:t>
      </w:r>
    </w:p>
    <w:p>
      <w:pPr>
        <w:pStyle w:val="BlockText"/>
      </w:pPr>
      <w:r>
        <w:t xml:space="preserve">AOVGuard infers approximate AOV categories from channel structure and naming conventions and records confidence labels describing the basis of each inference.</w:t>
      </w:r>
    </w:p>
    <w:p>
      <w:pPr>
        <w:pStyle w:val="FirstParagraph"/>
      </w:pPr>
      <w:r>
        <w:t xml:space="preserve">Avoid:</w:t>
      </w:r>
    </w:p>
    <w:p>
      <w:pPr>
        <w:pStyle w:val="BlockText"/>
      </w:pPr>
      <w:r>
        <w:t xml:space="preserve">AOVGuard knows the semantic type of every AOV.</w:t>
      </w:r>
    </w:p>
    <w:bookmarkEnd w:id="32"/>
    <w:bookmarkStart w:id="33" w:name="current-limitation"/>
    <w:p>
      <w:pPr>
        <w:pStyle w:val="Heading2"/>
        <w:keepNext/>
        <w:keepLines/>
      </w:pPr>
      <w:r>
        <w:t xml:space="preserve">4.4 Current limitation</w:t>
      </w:r>
    </w:p>
    <w:p>
      <w:pPr>
        <w:pStyle w:val="FirstParagraph"/>
      </w:pPr>
      <w:r>
        <w:t xml:space="preserve">There is no implemented preset mechanism that changes an</w:t>
      </w:r>
      <w:r>
        <w:t xml:space="preserve"> </w:t>
      </w:r>
      <w:r>
        <w:rPr>
          <w:rStyle w:val="VerbatimChar"/>
        </w:rPr>
        <w:t xml:space="preserve">AOVDescriptor.category</w:t>
      </w:r>
      <w:r>
        <w:t xml:space="preserve"> </w:t>
      </w:r>
      <w:r>
        <w:t xml:space="preserve">after inference. Presets control rule definitions and supported AOV types, but they do not provide category overrides. Documentation that states that presets can override AOV categorisation should be corrected.</w:t>
      </w:r>
    </w:p>
    <w:bookmarkEnd w:id="33"/>
    <w:bookmarkEnd w:id="34"/>
    <w:bookmarkStart w:id="38" w:name="openexr-backend"/>
    <w:p>
      <w:pPr>
        <w:pStyle w:val="Heading1"/>
        <w:keepNext/>
        <w:keepLines/>
      </w:pPr>
      <w:r>
        <w:t xml:space="preserve">5. OpenEXR backend</w:t>
      </w:r>
    </w:p>
    <w:p>
      <w:pPr>
        <w:pStyle w:val="FirstParagraph"/>
      </w:pPr>
      <w:r>
        <w:rPr>
          <w:b/>
          <w:bCs/>
        </w:rPr>
        <w:t xml:space="preserve">Primary code:</w:t>
      </w:r>
      <w:r>
        <w:t xml:space="preserve"> </w:t>
      </w:r>
      <w:r>
        <w:rPr>
          <w:rStyle w:val="VerbatimChar"/>
        </w:rPr>
        <w:t xml:space="preserve">src/aovguard/io/reader.py</w:t>
      </w:r>
    </w:p>
    <w:bookmarkStart w:id="35" w:name="confirmed-implementation"/>
    <w:p>
      <w:pPr>
        <w:pStyle w:val="Heading2"/>
        <w:keepNext/>
        <w:keepLines/>
      </w:pPr>
      <w:r>
        <w:t xml:space="preserve">5.1 Confirmed implementation</w:t>
      </w:r>
    </w:p>
    <w:p>
      <w:pPr>
        <w:pStyle w:val="FirstParagraph"/>
      </w:pPr>
      <w:r>
        <w:t xml:space="preserve">The current backend is based on the OpenEXR Python API.</w:t>
      </w:r>
    </w:p>
    <w:p>
      <w:pPr>
        <w:pStyle w:val="BodyText"/>
      </w:pPr>
      <w:r>
        <w:t xml:space="preserve">The reader:</w:t>
      </w:r>
    </w:p>
    <w:p>
      <w:pPr>
        <w:pStyle w:val="Compact"/>
        <w:numPr>
          <w:ilvl w:val="0"/>
          <w:numId w:val="1007"/>
        </w:numPr>
      </w:pPr>
      <w:r>
        <w:t xml:space="preserve">obtains data-window dimensions;</w:t>
      </w:r>
    </w:p>
    <w:p>
      <w:pPr>
        <w:pStyle w:val="Compact"/>
        <w:numPr>
          <w:ilvl w:val="0"/>
          <w:numId w:val="1007"/>
        </w:numPr>
      </w:pPr>
      <w:r>
        <w:t xml:space="preserve">inspects channels and parts;</w:t>
      </w:r>
    </w:p>
    <w:p>
      <w:pPr>
        <w:pStyle w:val="Compact"/>
        <w:numPr>
          <w:ilvl w:val="0"/>
          <w:numId w:val="1007"/>
        </w:numPr>
      </w:pPr>
      <w:r>
        <w:t xml:space="preserve">identifies unsupported deep/multipart structures;</w:t>
      </w:r>
    </w:p>
    <w:p>
      <w:pPr>
        <w:pStyle w:val="Compact"/>
        <w:numPr>
          <w:ilvl w:val="0"/>
          <w:numId w:val="1007"/>
        </w:numPr>
      </w:pPr>
      <w:r>
        <w:t xml:space="preserve">uses AOV descriptors to select colour AOV channel groups;</w:t>
      </w:r>
    </w:p>
    <w:p>
      <w:pPr>
        <w:pStyle w:val="Compact"/>
        <w:numPr>
          <w:ilvl w:val="0"/>
          <w:numId w:val="1007"/>
        </w:numPr>
      </w:pPr>
      <w:r>
        <w:t xml:space="preserve">reorders named R/G/B channels explicitly into RGB arrays;</w:t>
      </w:r>
    </w:p>
    <w:p>
      <w:pPr>
        <w:pStyle w:val="Compact"/>
        <w:numPr>
          <w:ilvl w:val="0"/>
          <w:numId w:val="1007"/>
        </w:numPr>
      </w:pPr>
      <w:r>
        <w:t xml:space="preserve">returns</w:t>
      </w:r>
      <w:r>
        <w:t xml:space="preserve"> </w:t>
      </w:r>
      <w:r>
        <w:rPr>
          <w:rStyle w:val="VerbatimChar"/>
        </w:rPr>
        <w:t xml:space="preserve">FrameData</w:t>
      </w:r>
      <w:r>
        <w:t xml:space="preserve"> </w:t>
      </w:r>
      <w:r>
        <w:t xml:space="preserve">for the main analysis loop.</w:t>
      </w:r>
    </w:p>
    <w:bookmarkEnd w:id="35"/>
    <w:bookmarkStart w:id="36" w:name="X264d88d13298008e947de96dfd541f9c5e5521d"/>
    <w:p>
      <w:pPr>
        <w:pStyle w:val="Heading2"/>
        <w:keepNext/>
        <w:keepLines/>
      </w:pPr>
      <w:r>
        <w:t xml:space="preserve">5.2 What the application does versus what OpenEXR does</w:t>
      </w:r>
    </w:p>
    <w:p>
      <w:pPr>
        <w:pStyle w:val="FirstParagraph"/>
      </w:pPr>
      <w:r>
        <w:t xml:space="preserve">OpenEXR performs format parsing and exposes file/part/channel data. AOVGuard performs the application-specific interpretation, categorisation, metric calculation and validation.</w:t>
      </w:r>
    </w:p>
    <w:p>
      <w:pPr>
        <w:pStyle w:val="BodyText"/>
      </w:pPr>
      <w:r>
        <w:t xml:space="preserve">Recommended distinction:</w:t>
      </w:r>
    </w:p>
    <w:p>
      <w:pPr>
        <w:pStyle w:val="BlockText"/>
      </w:pPr>
      <w:r>
        <w:t xml:space="preserve">The OpenEXR library provides the file-access backend; AOVGuard adds VFX-oriented structural interpretation and validation logic on top of that backend.</w:t>
      </w:r>
    </w:p>
    <w:bookmarkEnd w:id="36"/>
    <w:bookmarkStart w:id="37" w:name="deep-and-multipart-handling"/>
    <w:p>
      <w:pPr>
        <w:pStyle w:val="Heading2"/>
        <w:keepNext/>
        <w:keepLines/>
      </w:pPr>
      <w:r>
        <w:t xml:space="preserve">5.3 Deep and multipart handling</w:t>
      </w:r>
    </w:p>
    <w:p>
      <w:pPr>
        <w:pStyle w:val="FirstParagraph"/>
      </w:pPr>
      <w:r>
        <w:t xml:space="preserve">The MVP deliberately rejects unsupported structures instead of interpreting them using flat-image assumptions. This is defensible because deep data have a different sample model and multipart files may require more extensive part-specific semantics.</w:t>
      </w:r>
    </w:p>
    <w:bookmarkEnd w:id="37"/>
    <w:bookmarkEnd w:id="38"/>
    <w:bookmarkStart w:id="39" w:name="canonical-rgb-representation"/>
    <w:p>
      <w:pPr>
        <w:pStyle w:val="Heading1"/>
        <w:keepNext/>
        <w:keepLines/>
      </w:pPr>
      <w:r>
        <w:t xml:space="preserve">6. Canonical RGB representation</w:t>
      </w:r>
    </w:p>
    <w:p>
      <w:pPr>
        <w:pStyle w:val="FirstParagraph"/>
      </w:pPr>
      <w:r>
        <w:t xml:space="preserve">One of the original prototype issues was inconsistent BGR/RGB handling across analysis paths. The current reader builds colour AOVs using explicitly named channels and normalises them to RGB before image metrics are calculated.</w:t>
      </w:r>
    </w:p>
    <w:p>
      <w:pPr>
        <w:pStyle w:val="BodyText"/>
      </w:pPr>
      <w:r>
        <w:t xml:space="preserve">This is a strong engineering improvement because it removes ambiguity from downstream calculations.</w:t>
      </w:r>
    </w:p>
    <w:p>
      <w:pPr>
        <w:pStyle w:val="BodyText"/>
      </w:pPr>
      <w:r>
        <w:t xml:space="preserve">Recommended framing:</w:t>
      </w:r>
    </w:p>
    <w:p>
      <w:pPr>
        <w:pStyle w:val="BlockText"/>
      </w:pPr>
      <w:r>
        <w:t xml:space="preserve">The new backend uses a canonical internal RGB convention, reducing the channel-order inconsistency present in the original prototype.</w:t>
      </w:r>
    </w:p>
    <w:p>
      <w:pPr>
        <w:pStyle w:val="FirstParagraph"/>
      </w:pPr>
      <w:r>
        <w:t xml:space="preserve">This should be described as an internal consistency improvement, not as a novel colour representation.</w:t>
      </w:r>
    </w:p>
    <w:bookmarkEnd w:id="39"/>
    <w:bookmarkStart w:id="43" w:name="weighted-rgb-luminance-analysis"/>
    <w:p>
      <w:pPr>
        <w:pStyle w:val="Heading1"/>
        <w:keepNext/>
        <w:keepLines/>
      </w:pPr>
      <w:r>
        <w:t xml:space="preserve">7. Weighted RGB / luminance analysis</w:t>
      </w:r>
    </w:p>
    <w:p>
      <w:pPr>
        <w:pStyle w:val="FirstParagraph"/>
      </w:pPr>
      <w:r>
        <w:rPr>
          <w:b/>
          <w:bCs/>
        </w:rPr>
        <w:t xml:space="preserve">Primary code:</w:t>
      </w:r>
      <w:r>
        <w:t xml:space="preserve"> </w:t>
      </w:r>
      <w:r>
        <w:rPr>
          <w:rStyle w:val="VerbatimChar"/>
        </w:rPr>
        <w:t xml:space="preserve">src/aovguard/core/luminance.py</w:t>
      </w:r>
    </w:p>
    <w:bookmarkStart w:id="40" w:name="confirmed-implementation-1"/>
    <w:p>
      <w:pPr>
        <w:pStyle w:val="Heading2"/>
        <w:keepNext/>
        <w:keepLines/>
      </w:pPr>
      <w:r>
        <w:t xml:space="preserve">7.1 Confirmed implementation</w:t>
      </w:r>
    </w:p>
    <w:p>
      <w:pPr>
        <w:pStyle w:val="FirstParagraph"/>
      </w:pPr>
      <w:r>
        <w:rPr>
          <w:rStyle w:val="VerbatimChar"/>
        </w:rPr>
        <w:t xml:space="preserve">LuminanceWeights</w:t>
      </w:r>
      <w:r>
        <w:t xml:space="preserve"> </w:t>
      </w:r>
      <w:r>
        <w:t xml:space="preserve">validates that exactly three finite weights are supplied and that their sum is positive (</w:t>
      </w:r>
      <w:r>
        <w:rPr>
          <w:rStyle w:val="VerbatimChar"/>
        </w:rPr>
        <w:t xml:space="preserve">luminance.py:9-36</w:t>
      </w:r>
      <w:r>
        <w:t xml:space="preserve">).</w:t>
      </w:r>
    </w:p>
    <w:p>
      <w:pPr>
        <w:pStyle w:val="BodyText"/>
      </w:pPr>
      <w:r>
        <w:t xml:space="preserve">Built-in weights are:</w:t>
      </w:r>
    </w:p>
    <w:p>
      <w:pPr>
        <w:pStyle w:val="Compact"/>
        <w:numPr>
          <w:ilvl w:val="0"/>
          <w:numId w:val="1008"/>
        </w:numPr>
      </w:pPr>
      <w:r>
        <w:t xml:space="preserve">Rec.709:</w:t>
      </w:r>
      <w:r>
        <w:t xml:space="preserve"> </w:t>
      </w:r>
      <w:r>
        <w:rPr>
          <w:rStyle w:val="VerbatimChar"/>
        </w:rPr>
        <w:t xml:space="preserve">(0.2126, 0.7152, 0.0722)</w:t>
      </w:r>
      <w:r>
        <w:t xml:space="preserve"> </w:t>
      </w:r>
      <w:r>
        <w:t xml:space="preserve">(</w:t>
      </w:r>
      <w:r>
        <w:rPr>
          <w:rStyle w:val="VerbatimChar"/>
        </w:rPr>
        <w:t xml:space="preserve">luminance.py:42</w:t>
      </w:r>
      <w:r>
        <w:t xml:space="preserve">)</w:t>
      </w:r>
    </w:p>
    <w:p>
      <w:pPr>
        <w:pStyle w:val="Compact"/>
        <w:numPr>
          <w:ilvl w:val="0"/>
          <w:numId w:val="1008"/>
        </w:numPr>
      </w:pPr>
      <w:r>
        <w:t xml:space="preserve">Rec.601:</w:t>
      </w:r>
      <w:r>
        <w:t xml:space="preserve"> </w:t>
      </w:r>
      <w:r>
        <w:rPr>
          <w:rStyle w:val="VerbatimChar"/>
        </w:rPr>
        <w:t xml:space="preserve">(0.299, 0.587, 0.114)</w:t>
      </w:r>
      <w:r>
        <w:t xml:space="preserve"> </w:t>
      </w:r>
      <w:r>
        <w:t xml:space="preserve">(</w:t>
      </w:r>
      <w:r>
        <w:rPr>
          <w:rStyle w:val="VerbatimChar"/>
        </w:rPr>
        <w:t xml:space="preserve">luminance.py:43</w:t>
      </w:r>
      <w:r>
        <w:t xml:space="preserve">)</w:t>
      </w:r>
    </w:p>
    <w:p>
      <w:pPr>
        <w:pStyle w:val="FirstParagraph"/>
      </w:pPr>
      <w:r>
        <w:rPr>
          <w:rStyle w:val="VerbatimChar"/>
        </w:rPr>
        <w:t xml:space="preserve">compute_luminance()</w:t>
      </w:r>
      <w:r>
        <w:t xml:space="preserve"> </w:t>
      </w:r>
      <w:r>
        <w:t xml:space="preserve">expects explicit RGB ordering and ignores alpha/extra channels (</w:t>
      </w:r>
      <w:r>
        <w:rPr>
          <w:rStyle w:val="VerbatimChar"/>
        </w:rPr>
        <w:t xml:space="preserve">luminance.py:46-66</w:t>
      </w:r>
      <w:r>
        <w:t xml:space="preserve">).</w:t>
      </w:r>
    </w:p>
    <w:bookmarkEnd w:id="40"/>
    <w:bookmarkStart w:id="41" w:name="important-academic-limitation"/>
    <w:p>
      <w:pPr>
        <w:pStyle w:val="Heading2"/>
        <w:keepNext/>
        <w:keepLines/>
      </w:pPr>
      <w:r>
        <w:t xml:space="preserve">7.2 Important academic limitation</w:t>
      </w:r>
    </w:p>
    <w:p>
      <w:pPr>
        <w:pStyle w:val="FirstParagraph"/>
      </w:pPr>
      <w:r>
        <w:t xml:space="preserve">The current MVP does</w:t>
      </w:r>
      <w:r>
        <w:t xml:space="preserve"> </w:t>
      </w:r>
      <w:r>
        <w:rPr>
          <w:b/>
          <w:bCs/>
        </w:rPr>
        <w:t xml:space="preserve">not</w:t>
      </w:r>
      <w:r>
        <w:t xml:space="preserve"> </w:t>
      </w:r>
      <w:r>
        <w:t xml:space="preserve">infer the input colour space and does not transform image data into a common colour space before applying those coefficients.</w:t>
      </w:r>
    </w:p>
    <w:p>
      <w:pPr>
        <w:pStyle w:val="BodyText"/>
      </w:pPr>
      <w:r>
        <w:t xml:space="preserve">This matters because RGB-to-Y coefficients are tied to a colour representation/primary set. ACEScg, for example, uses AP1 primaries and allows values outside 0-1, including negative components in valid scene-linear data.</w:t>
      </w:r>
    </w:p>
    <w:p>
      <w:pPr>
        <w:pStyle w:val="BodyText"/>
      </w:pPr>
      <w:r>
        <w:t xml:space="preserve">Therefore, the safest wording is:</w:t>
      </w:r>
    </w:p>
    <w:p>
      <w:pPr>
        <w:pStyle w:val="BlockText"/>
      </w:pPr>
      <w:r>
        <w:t xml:space="preserve">AOVGuard uses configurable RGB weighting models as image-analysis metrics. The current MVP does not infer or transform the source colour space before applying these weights.</w:t>
      </w:r>
    </w:p>
    <w:p>
      <w:pPr>
        <w:pStyle w:val="FirstParagraph"/>
      </w:pPr>
      <w:r>
        <w:t xml:space="preserve">Avoid describing Rec.709 weights as a universal colourimetric luminance calculation for arbitrary EXR content.</w:t>
      </w:r>
    </w:p>
    <w:bookmarkEnd w:id="41"/>
    <w:bookmarkStart w:id="42" w:name="future-work-implication"/>
    <w:p>
      <w:pPr>
        <w:pStyle w:val="Heading2"/>
        <w:keepNext/>
        <w:keepLines/>
      </w:pPr>
      <w:r>
        <w:t xml:space="preserve">7.3 Future work implication</w:t>
      </w:r>
    </w:p>
    <w:p>
      <w:pPr>
        <w:pStyle w:val="FirstParagraph"/>
      </w:pPr>
      <w:r>
        <w:t xml:space="preserve">OpenColorIO integration could enable colour-space-aware preprocessing or analysis, but it is not currently implemented.</w:t>
      </w:r>
    </w:p>
    <w:bookmarkEnd w:id="42"/>
    <w:bookmarkEnd w:id="43"/>
    <w:bookmarkStart w:id="46" w:name="non-finite-values-and-negative-values"/>
    <w:p>
      <w:pPr>
        <w:pStyle w:val="Heading1"/>
        <w:keepNext/>
        <w:keepLines/>
      </w:pPr>
      <w:r>
        <w:t xml:space="preserve">8. Non-finite values and negative values</w:t>
      </w:r>
    </w:p>
    <w:bookmarkStart w:id="44" w:name="nan-and-infinity"/>
    <w:p>
      <w:pPr>
        <w:pStyle w:val="Heading2"/>
        <w:keepNext/>
        <w:keepLines/>
      </w:pPr>
      <w:r>
        <w:t xml:space="preserve">8.1 NaN and infinity</w:t>
      </w:r>
    </w:p>
    <w:p>
      <w:pPr>
        <w:pStyle w:val="FirstParagraph"/>
      </w:pPr>
      <w:r>
        <w:t xml:space="preserve">NaN and positive/negative infinity are objective floating-point conditions and are tracked separately in metric models. The rule system contains a</w:t>
      </w:r>
      <w:r>
        <w:t xml:space="preserve"> </w:t>
      </w:r>
      <w:r>
        <w:rPr>
          <w:rStyle w:val="VerbatimChar"/>
        </w:rPr>
        <w:t xml:space="preserve">nan_inf</w:t>
      </w:r>
      <w:r>
        <w:t xml:space="preserve"> </w:t>
      </w:r>
      <w:r>
        <w:t xml:space="preserve">rule.</w:t>
      </w:r>
    </w:p>
    <w:p>
      <w:pPr>
        <w:pStyle w:val="BodyText"/>
      </w:pPr>
      <w:r>
        <w:t xml:space="preserve">The JSON layer sanitises non-finite floats before serialisation and writes JSON with</w:t>
      </w:r>
      <w:r>
        <w:t xml:space="preserve"> </w:t>
      </w:r>
      <w:r>
        <w:rPr>
          <w:rStyle w:val="VerbatimChar"/>
        </w:rPr>
        <w:t xml:space="preserve">allow_nan=False</w:t>
      </w:r>
      <w:r>
        <w:t xml:space="preserve"> </w:t>
      </w:r>
      <w:r>
        <w:t xml:space="preserve">(</w:t>
      </w:r>
      <w:r>
        <w:rPr>
          <w:rStyle w:val="VerbatimChar"/>
        </w:rPr>
        <w:t xml:space="preserve">src/aovguard/reports/json_report.py:179-190</w:t>
      </w:r>
      <w:r>
        <w:t xml:space="preserve">).</w:t>
      </w:r>
    </w:p>
    <w:p>
      <w:pPr>
        <w:pStyle w:val="BodyText"/>
      </w:pPr>
      <w:r>
        <w:t xml:space="preserve">This is a good engineering property: AOVGuard can report invalid/non-finite numerical data without emitting non-standard NaN/Infinity tokens in the canonical JSON report.</w:t>
      </w:r>
    </w:p>
    <w:bookmarkEnd w:id="44"/>
    <w:bookmarkStart w:id="45" w:name="negative-values"/>
    <w:p>
      <w:pPr>
        <w:pStyle w:val="Heading2"/>
        <w:keepNext/>
        <w:keepLines/>
      </w:pPr>
      <w:r>
        <w:t xml:space="preserve">8.2 Negative values</w:t>
      </w:r>
    </w:p>
    <w:p>
      <w:pPr>
        <w:pStyle w:val="FirstParagraph"/>
      </w:pPr>
      <w:r>
        <w:t xml:space="preserve">Negative pixel values require context in scene-linear VFX workflows. ACEScg explicitly permits negative components in its valid floating-point range under some conditions.</w:t>
      </w:r>
    </w:p>
    <w:p>
      <w:pPr>
        <w:pStyle w:val="BodyText"/>
      </w:pPr>
      <w:r>
        <w:t xml:space="preserve">AOVGuard therefore should not present a negative value as universally corrupted data. The</w:t>
      </w:r>
      <w:r>
        <w:t xml:space="preserve"> </w:t>
      </w:r>
      <w:r>
        <w:rPr>
          <w:rStyle w:val="VerbatimChar"/>
        </w:rPr>
        <w:t xml:space="preserve">negative_values</w:t>
      </w:r>
      <w:r>
        <w:t xml:space="preserve"> </w:t>
      </w:r>
      <w:r>
        <w:t xml:space="preserve">rule is appropriately treated as a review-oriented rule rather than an unconditional artistic failure.</w:t>
      </w:r>
    </w:p>
    <w:p>
      <w:pPr>
        <w:pStyle w:val="BodyText"/>
      </w:pPr>
      <w:r>
        <w:t xml:space="preserve">Recommended principle:</w:t>
      </w:r>
    </w:p>
    <w:p>
      <w:pPr>
        <w:pStyle w:val="BlockText"/>
      </w:pPr>
      <w:r>
        <w:t xml:space="preserve">A finding is evidence for review, not automatically proof that the render is artistically wrong.</w:t>
      </w:r>
    </w:p>
    <w:bookmarkEnd w:id="45"/>
    <w:bookmarkEnd w:id="46"/>
    <w:bookmarkStart w:id="47" w:name="image-metrics"/>
    <w:p>
      <w:pPr>
        <w:pStyle w:val="Heading1"/>
        <w:keepNext/>
        <w:keepLines/>
      </w:pPr>
      <w:r>
        <w:t xml:space="preserve">9. Image metrics</w:t>
      </w:r>
    </w:p>
    <w:p>
      <w:pPr>
        <w:pStyle w:val="FirstParagraph"/>
      </w:pPr>
      <w:r>
        <w:t xml:space="preserve">The core analysis computes evidence used by validation rules, including:</w:t>
      </w:r>
    </w:p>
    <w:p>
      <w:pPr>
        <w:pStyle w:val="Compact"/>
        <w:numPr>
          <w:ilvl w:val="0"/>
          <w:numId w:val="1009"/>
        </w:numPr>
      </w:pPr>
      <w:r>
        <w:t xml:space="preserve">weighted RGB average and maximum;</w:t>
      </w:r>
    </w:p>
    <w:p>
      <w:pPr>
        <w:pStyle w:val="Compact"/>
        <w:numPr>
          <w:ilvl w:val="0"/>
          <w:numId w:val="1009"/>
        </w:numPr>
      </w:pPr>
      <w:r>
        <w:t xml:space="preserve">absolute weighted RGB metrics;</w:t>
      </w:r>
    </w:p>
    <w:p>
      <w:pPr>
        <w:pStyle w:val="Compact"/>
        <w:numPr>
          <w:ilvl w:val="0"/>
          <w:numId w:val="1009"/>
        </w:numPr>
      </w:pPr>
      <w:r>
        <w:t xml:space="preserve">non-black ratio;</w:t>
      </w:r>
    </w:p>
    <w:p>
      <w:pPr>
        <w:pStyle w:val="Compact"/>
        <w:numPr>
          <w:ilvl w:val="0"/>
          <w:numId w:val="1009"/>
        </w:numPr>
      </w:pPr>
      <w:r>
        <w:t xml:space="preserve">NaN/+Inf/-Inf counts;</w:t>
      </w:r>
    </w:p>
    <w:p>
      <w:pPr>
        <w:pStyle w:val="Compact"/>
        <w:numPr>
          <w:ilvl w:val="0"/>
          <w:numId w:val="1009"/>
        </w:numPr>
      </w:pPr>
      <w:r>
        <w:t xml:space="preserve">per-channel average, minimum and maximum;</w:t>
      </w:r>
    </w:p>
    <w:p>
      <w:pPr>
        <w:pStyle w:val="Compact"/>
        <w:numPr>
          <w:ilvl w:val="0"/>
          <w:numId w:val="1009"/>
        </w:numPr>
      </w:pPr>
      <w:r>
        <w:t xml:space="preserve">per-channel negative counts;</w:t>
      </w:r>
    </w:p>
    <w:p>
      <w:pPr>
        <w:pStyle w:val="Compact"/>
        <w:numPr>
          <w:ilvl w:val="0"/>
          <w:numId w:val="1009"/>
        </w:numPr>
      </w:pPr>
      <w:r>
        <w:t xml:space="preserve">constant-channel detection.</w:t>
      </w:r>
    </w:p>
    <w:p>
      <w:pPr>
        <w:pStyle w:val="FirstParagraph"/>
      </w:pPr>
      <w:r>
        <w:t xml:space="preserve">These are conventional image statistics and should not be presented as novel algorithms.</w:t>
      </w:r>
    </w:p>
    <w:p>
      <w:pPr>
        <w:pStyle w:val="BodyText"/>
      </w:pPr>
      <w:r>
        <w:t xml:space="preserve">Their role in the contribution is</w:t>
      </w:r>
      <w:r>
        <w:t xml:space="preserve"> </w:t>
      </w:r>
      <w:r>
        <w:rPr>
          <w:b/>
          <w:bCs/>
        </w:rPr>
        <w:t xml:space="preserve">integration into an AOV-aware validation model</w:t>
      </w:r>
      <w:r>
        <w:t xml:space="preserve">.</w:t>
      </w:r>
    </w:p>
    <w:bookmarkEnd w:id="47"/>
    <w:bookmarkStart w:id="52" w:name="configurable-rule-system"/>
    <w:p>
      <w:pPr>
        <w:pStyle w:val="Heading1"/>
        <w:keepNext/>
        <w:keepLines/>
      </w:pPr>
      <w:r>
        <w:t xml:space="preserve">10. Configurable rule system</w:t>
      </w:r>
    </w:p>
    <w:p>
      <w:pPr>
        <w:pStyle w:val="FirstParagraph"/>
      </w:pPr>
      <w:r>
        <w:rPr>
          <w:b/>
          <w:bCs/>
        </w:rPr>
        <w:t xml:space="preserve">Primary code:</w:t>
      </w:r>
    </w:p>
    <w:p>
      <w:pPr>
        <w:pStyle w:val="Compact"/>
        <w:numPr>
          <w:ilvl w:val="0"/>
          <w:numId w:val="1010"/>
        </w:numPr>
      </w:pPr>
      <w:r>
        <w:rPr>
          <w:rStyle w:val="VerbatimChar"/>
        </w:rPr>
        <w:t xml:space="preserve">src/aovguard/rules/definitions.py</w:t>
      </w:r>
    </w:p>
    <w:p>
      <w:pPr>
        <w:pStyle w:val="Compact"/>
        <w:numPr>
          <w:ilvl w:val="0"/>
          <w:numId w:val="1010"/>
        </w:numPr>
      </w:pPr>
      <w:r>
        <w:rPr>
          <w:rStyle w:val="VerbatimChar"/>
        </w:rPr>
        <w:t xml:space="preserve">src/aovguard/rules/loader.py</w:t>
      </w:r>
    </w:p>
    <w:p>
      <w:pPr>
        <w:pStyle w:val="Compact"/>
        <w:numPr>
          <w:ilvl w:val="0"/>
          <w:numId w:val="1010"/>
        </w:numPr>
      </w:pPr>
      <w:r>
        <w:rPr>
          <w:rStyle w:val="VerbatimChar"/>
        </w:rPr>
        <w:t xml:space="preserve">src/aovguard/rules/registry.py</w:t>
      </w:r>
    </w:p>
    <w:p>
      <w:pPr>
        <w:pStyle w:val="Compact"/>
        <w:numPr>
          <w:ilvl w:val="0"/>
          <w:numId w:val="1010"/>
        </w:numPr>
      </w:pPr>
      <w:r>
        <w:rPr>
          <w:rStyle w:val="VerbatimChar"/>
        </w:rPr>
        <w:t xml:space="preserve">src/aovguard/rules/engine.py</w:t>
      </w:r>
    </w:p>
    <w:p>
      <w:pPr>
        <w:pStyle w:val="Compact"/>
        <w:numPr>
          <w:ilvl w:val="0"/>
          <w:numId w:val="1010"/>
        </w:numPr>
      </w:pPr>
      <w:r>
        <w:rPr>
          <w:rStyle w:val="VerbatimChar"/>
        </w:rPr>
        <w:t xml:space="preserve">src/aovguard/rules/builtin.py</w:t>
      </w:r>
    </w:p>
    <w:bookmarkStart w:id="48" w:name="rule-model"/>
    <w:p>
      <w:pPr>
        <w:pStyle w:val="Heading2"/>
        <w:keepNext/>
        <w:keepLines/>
      </w:pPr>
      <w:r>
        <w:t xml:space="preserve">10.1 Rule model</w:t>
      </w:r>
    </w:p>
    <w:p>
      <w:pPr>
        <w:pStyle w:val="FirstParagraph"/>
      </w:pPr>
      <w:r>
        <w:rPr>
          <w:rStyle w:val="VerbatimChar"/>
        </w:rPr>
        <w:t xml:space="preserve">RuleDefinition</w:t>
      </w:r>
      <w:r>
        <w:t xml:space="preserve"> </w:t>
      </w:r>
      <w:r>
        <w:t xml:space="preserve">contains:</w:t>
      </w:r>
    </w:p>
    <w:p>
      <w:pPr>
        <w:pStyle w:val="Compact"/>
        <w:numPr>
          <w:ilvl w:val="0"/>
          <w:numId w:val="1011"/>
        </w:numPr>
      </w:pPr>
      <w:r>
        <w:rPr>
          <w:rStyle w:val="VerbatimChar"/>
        </w:rPr>
        <w:t xml:space="preserve">id</w:t>
      </w:r>
      <w:r>
        <w:t xml:space="preserve">;</w:t>
      </w:r>
    </w:p>
    <w:p>
      <w:pPr>
        <w:pStyle w:val="Compact"/>
        <w:numPr>
          <w:ilvl w:val="0"/>
          <w:numId w:val="1011"/>
        </w:numPr>
      </w:pPr>
      <w:r>
        <w:rPr>
          <w:rStyle w:val="VerbatimChar"/>
        </w:rPr>
        <w:t xml:space="preserve">enabled</w:t>
      </w:r>
      <w:r>
        <w:t xml:space="preserve">;</w:t>
      </w:r>
    </w:p>
    <w:p>
      <w:pPr>
        <w:pStyle w:val="Compact"/>
        <w:numPr>
          <w:ilvl w:val="0"/>
          <w:numId w:val="1011"/>
        </w:numPr>
      </w:pPr>
      <w:r>
        <w:rPr>
          <w:rStyle w:val="VerbatimChar"/>
        </w:rPr>
        <w:t xml:space="preserve">severity</w:t>
      </w:r>
      <w:r>
        <w:t xml:space="preserve">;</w:t>
      </w:r>
    </w:p>
    <w:p>
      <w:pPr>
        <w:pStyle w:val="Compact"/>
        <w:numPr>
          <w:ilvl w:val="0"/>
          <w:numId w:val="1011"/>
        </w:numPr>
      </w:pPr>
      <w:r>
        <w:rPr>
          <w:rStyle w:val="VerbatimChar"/>
        </w:rPr>
        <w:t xml:space="preserve">parameters</w:t>
      </w:r>
      <w:r>
        <w:t xml:space="preserve">;</w:t>
      </w:r>
    </w:p>
    <w:p>
      <w:pPr>
        <w:pStyle w:val="Compact"/>
        <w:numPr>
          <w:ilvl w:val="0"/>
          <w:numId w:val="1011"/>
        </w:numPr>
      </w:pPr>
      <w:r>
        <w:rPr>
          <w:rStyle w:val="VerbatimChar"/>
        </w:rPr>
        <w:t xml:space="preserve">supported_aov_types</w:t>
      </w:r>
      <w:r>
        <w:t xml:space="preserve">.</w:t>
      </w:r>
    </w:p>
    <w:p>
      <w:pPr>
        <w:pStyle w:val="FirstParagraph"/>
      </w:pPr>
      <w:r>
        <w:t xml:space="preserve">See</w:t>
      </w:r>
      <w:r>
        <w:t xml:space="preserve"> </w:t>
      </w:r>
      <w:r>
        <w:rPr>
          <w:rStyle w:val="VerbatimChar"/>
        </w:rPr>
        <w:t xml:space="preserve">definitions.py:10-22</w:t>
      </w:r>
      <w:r>
        <w:t xml:space="preserve">.</w:t>
      </w:r>
    </w:p>
    <w:bookmarkEnd w:id="48"/>
    <w:bookmarkStart w:id="49" w:name="fault-isolation"/>
    <w:p>
      <w:pPr>
        <w:pStyle w:val="Heading2"/>
        <w:keepNext/>
        <w:keepLines/>
      </w:pPr>
      <w:r>
        <w:t xml:space="preserve">10.2 Fault isolation</w:t>
      </w:r>
    </w:p>
    <w:p>
      <w:pPr>
        <w:pStyle w:val="FirstParagraph"/>
      </w:pPr>
      <w:r>
        <w:rPr>
          <w:rStyle w:val="VerbatimChar"/>
        </w:rPr>
        <w:t xml:space="preserve">execute_rules()</w:t>
      </w:r>
      <w:r>
        <w:t xml:space="preserve"> </w:t>
      </w:r>
      <w:r>
        <w:t xml:space="preserve">catches failures per rule and converts an unknown or crashing rule into a</w:t>
      </w:r>
      <w:r>
        <w:t xml:space="preserve"> </w:t>
      </w:r>
      <w:r>
        <w:rPr>
          <w:rStyle w:val="VerbatimChar"/>
        </w:rPr>
        <w:t xml:space="preserve">rule_error</w:t>
      </w:r>
      <w:r>
        <w:t xml:space="preserve"> </w:t>
      </w:r>
      <w:r>
        <w:t xml:space="preserve">finding instead of terminating the complete analysis (</w:t>
      </w:r>
      <w:r>
        <w:rPr>
          <w:rStyle w:val="VerbatimChar"/>
        </w:rPr>
        <w:t xml:space="preserve">engine.py:10-51</w:t>
      </w:r>
      <w:r>
        <w:t xml:space="preserve">).</w:t>
      </w:r>
    </w:p>
    <w:p>
      <w:pPr>
        <w:pStyle w:val="BodyText"/>
      </w:pPr>
      <w:r>
        <w:t xml:space="preserve">This is a strong reliability decision for a validation pipeline.</w:t>
      </w:r>
    </w:p>
    <w:bookmarkEnd w:id="49"/>
    <w:bookmarkStart w:id="50" w:name="current-built-in-rules"/>
    <w:p>
      <w:pPr>
        <w:pStyle w:val="Heading2"/>
        <w:keepNext/>
        <w:keepLines/>
      </w:pPr>
      <w:r>
        <w:t xml:space="preserve">10.3 Current built-in rules</w:t>
      </w:r>
    </w:p>
    <w:p>
      <w:pPr>
        <w:pStyle w:val="FirstParagraph"/>
      </w:pPr>
      <w:r>
        <w:t xml:space="preserve">The release defines rules corresponding to:</w:t>
      </w:r>
    </w:p>
    <w:p>
      <w:pPr>
        <w:pStyle w:val="Compact"/>
        <w:numPr>
          <w:ilvl w:val="0"/>
          <w:numId w:val="1012"/>
        </w:numPr>
      </w:pPr>
      <w:r>
        <w:rPr>
          <w:rStyle w:val="VerbatimChar"/>
        </w:rPr>
        <w:t xml:space="preserve">nan_inf</w:t>
      </w:r>
      <w:r>
        <w:t xml:space="preserve">;</w:t>
      </w:r>
    </w:p>
    <w:p>
      <w:pPr>
        <w:pStyle w:val="Compact"/>
        <w:numPr>
          <w:ilvl w:val="0"/>
          <w:numId w:val="1012"/>
        </w:numPr>
      </w:pPr>
      <w:r>
        <w:rPr>
          <w:rStyle w:val="VerbatimChar"/>
        </w:rPr>
        <w:t xml:space="preserve">empty_aov</w:t>
      </w:r>
      <w:r>
        <w:t xml:space="preserve">;</w:t>
      </w:r>
    </w:p>
    <w:p>
      <w:pPr>
        <w:pStyle w:val="Compact"/>
        <w:numPr>
          <w:ilvl w:val="0"/>
          <w:numId w:val="1012"/>
        </w:numPr>
      </w:pPr>
      <w:r>
        <w:rPr>
          <w:rStyle w:val="VerbatimChar"/>
        </w:rPr>
        <w:t xml:space="preserve">near_empty_aov</w:t>
      </w:r>
      <w:r>
        <w:t xml:space="preserve">;</w:t>
      </w:r>
    </w:p>
    <w:p>
      <w:pPr>
        <w:pStyle w:val="Compact"/>
        <w:numPr>
          <w:ilvl w:val="0"/>
          <w:numId w:val="1012"/>
        </w:numPr>
      </w:pPr>
      <w:r>
        <w:rPr>
          <w:rStyle w:val="VerbatimChar"/>
        </w:rPr>
        <w:t xml:space="preserve">missing_aov</w:t>
      </w:r>
      <w:r>
        <w:t xml:space="preserve">;</w:t>
      </w:r>
    </w:p>
    <w:p>
      <w:pPr>
        <w:pStyle w:val="Compact"/>
        <w:numPr>
          <w:ilvl w:val="0"/>
          <w:numId w:val="1012"/>
        </w:numPr>
      </w:pPr>
      <w:r>
        <w:rPr>
          <w:rStyle w:val="VerbatimChar"/>
        </w:rPr>
        <w:t xml:space="preserve">missing_channels</w:t>
      </w:r>
      <w:r>
        <w:t xml:space="preserve">;</w:t>
      </w:r>
    </w:p>
    <w:p>
      <w:pPr>
        <w:pStyle w:val="Compact"/>
        <w:numPr>
          <w:ilvl w:val="0"/>
          <w:numId w:val="1012"/>
        </w:numPr>
      </w:pPr>
      <w:r>
        <w:rPr>
          <w:rStyle w:val="VerbatimChar"/>
        </w:rPr>
        <w:t xml:space="preserve">negative_values</w:t>
      </w:r>
      <w:r>
        <w:t xml:space="preserve">;</w:t>
      </w:r>
    </w:p>
    <w:p>
      <w:pPr>
        <w:pStyle w:val="Compact"/>
        <w:numPr>
          <w:ilvl w:val="0"/>
          <w:numId w:val="1012"/>
        </w:numPr>
      </w:pPr>
      <w:r>
        <w:rPr>
          <w:rStyle w:val="VerbatimChar"/>
        </w:rPr>
        <w:t xml:space="preserve">constant_channel</w:t>
      </w:r>
      <w:r>
        <w:t xml:space="preserve">;</w:t>
      </w:r>
    </w:p>
    <w:p>
      <w:pPr>
        <w:pStyle w:val="Compact"/>
        <w:numPr>
          <w:ilvl w:val="0"/>
          <w:numId w:val="1012"/>
        </w:numPr>
      </w:pPr>
      <w:r>
        <w:rPr>
          <w:rStyle w:val="VerbatimChar"/>
        </w:rPr>
        <w:t xml:space="preserve">resolution_mismatch</w:t>
      </w:r>
      <w:r>
        <w:t xml:space="preserve">;</w:t>
      </w:r>
    </w:p>
    <w:p>
      <w:pPr>
        <w:pStyle w:val="Compact"/>
        <w:numPr>
          <w:ilvl w:val="0"/>
          <w:numId w:val="1012"/>
        </w:numPr>
      </w:pPr>
      <w:r>
        <w:rPr>
          <w:rStyle w:val="VerbatimChar"/>
        </w:rPr>
        <w:t xml:space="preserve">aov_structure_mismatch</w:t>
      </w:r>
      <w:r>
        <w:t xml:space="preserve">.</w:t>
      </w:r>
    </w:p>
    <w:bookmarkEnd w:id="50"/>
    <w:bookmarkStart w:id="51" w:name="academic-limitation-thresholds"/>
    <w:p>
      <w:pPr>
        <w:pStyle w:val="Heading2"/>
        <w:keepNext/>
        <w:keepLines/>
      </w:pPr>
      <w:r>
        <w:t xml:space="preserve">10.4 Academic limitation: thresholds</w:t>
      </w:r>
    </w:p>
    <w:p>
      <w:pPr>
        <w:pStyle w:val="FirstParagraph"/>
      </w:pPr>
      <w:r>
        <w:t xml:space="preserve">Default thresholds are engineering defaults. They have not been calibrated on a large labelled production dataset with expert ground truth, precision/recall or false-positive/false-negative analysis.</w:t>
      </w:r>
    </w:p>
    <w:p>
      <w:pPr>
        <w:pStyle w:val="BodyText"/>
      </w:pPr>
      <w:r>
        <w:t xml:space="preserve">Safe claim:</w:t>
      </w:r>
    </w:p>
    <w:p>
      <w:pPr>
        <w:pStyle w:val="BlockText"/>
      </w:pPr>
      <w:r>
        <w:t xml:space="preserve">The rules identify controlled conditions represented by the automated and generated test fixtures, and their parameters can be configured for project context.</w:t>
      </w:r>
    </w:p>
    <w:p>
      <w:pPr>
        <w:pStyle w:val="FirstParagraph"/>
      </w:pPr>
      <w:r>
        <w:t xml:space="preserve">Unsafe claim:</w:t>
      </w:r>
    </w:p>
    <w:p>
      <w:pPr>
        <w:pStyle w:val="BlockText"/>
      </w:pPr>
      <w:r>
        <w:t xml:space="preserve">The default thresholds accurately identify all production render failures.</w:t>
      </w:r>
    </w:p>
    <w:bookmarkEnd w:id="51"/>
    <w:bookmarkEnd w:id="52"/>
    <w:bookmarkStart w:id="56" w:name="sequence-checking"/>
    <w:p>
      <w:pPr>
        <w:pStyle w:val="Heading1"/>
        <w:keepNext/>
        <w:keepLines/>
      </w:pPr>
      <w:r>
        <w:t xml:space="preserve">11. Sequence checking</w:t>
      </w:r>
    </w:p>
    <w:p>
      <w:pPr>
        <w:pStyle w:val="FirstParagraph"/>
      </w:pPr>
      <w:r>
        <w:rPr>
          <w:b/>
          <w:bCs/>
        </w:rPr>
        <w:t xml:space="preserve">Primary code:</w:t>
      </w:r>
      <w:r>
        <w:t xml:space="preserve"> </w:t>
      </w:r>
      <w:r>
        <w:rPr>
          <w:rStyle w:val="VerbatimChar"/>
        </w:rPr>
        <w:t xml:space="preserve">src/aovguard/sequence/sequence_checker.py</w:t>
      </w:r>
    </w:p>
    <w:bookmarkStart w:id="53" w:name="confirmed-behaviour-1"/>
    <w:p>
      <w:pPr>
        <w:pStyle w:val="Heading2"/>
        <w:keepNext/>
        <w:keepLines/>
      </w:pPr>
      <w:r>
        <w:t xml:space="preserve">11.1 Confirmed behaviour</w:t>
      </w:r>
    </w:p>
    <w:p>
      <w:pPr>
        <w:pStyle w:val="FirstParagraph"/>
      </w:pPr>
      <w:r>
        <w:t xml:space="preserve">The sequence checker uses a filename regex that extracts the last numerical frame token before the</w:t>
      </w:r>
      <w:r>
        <w:t xml:space="preserve"> </w:t>
      </w:r>
      <w:r>
        <w:rPr>
          <w:rStyle w:val="VerbatimChar"/>
        </w:rPr>
        <w:t xml:space="preserve">.exr</w:t>
      </w:r>
      <w:r>
        <w:t xml:space="preserve"> </w:t>
      </w:r>
      <w:r>
        <w:t xml:space="preserve">extension (</w:t>
      </w:r>
      <w:r>
        <w:rPr>
          <w:rStyle w:val="VerbatimChar"/>
        </w:rPr>
        <w:t xml:space="preserve">sequence_checker.py:15-18</w:t>
      </w:r>
      <w:r>
        <w:t xml:space="preserve">).</w:t>
      </w:r>
    </w:p>
    <w:p>
      <w:pPr>
        <w:pStyle w:val="BodyText"/>
      </w:pPr>
      <w:r>
        <w:t xml:space="preserve">It can identify:</w:t>
      </w:r>
    </w:p>
    <w:p>
      <w:pPr>
        <w:pStyle w:val="Compact"/>
        <w:numPr>
          <w:ilvl w:val="0"/>
          <w:numId w:val="1013"/>
        </w:numPr>
      </w:pPr>
      <w:r>
        <w:t xml:space="preserve">missing frame ranges (</w:t>
      </w:r>
      <w:r>
        <w:rPr>
          <w:rStyle w:val="VerbatimChar"/>
        </w:rPr>
        <w:t xml:space="preserve">sequence_checker.py:21-26</w:t>
      </w:r>
      <w:r>
        <w:t xml:space="preserve">);</w:t>
      </w:r>
    </w:p>
    <w:p>
      <w:pPr>
        <w:pStyle w:val="Compact"/>
        <w:numPr>
          <w:ilvl w:val="0"/>
          <w:numId w:val="1013"/>
        </w:numPr>
      </w:pPr>
      <w:r>
        <w:t xml:space="preserve">duplicate frame numbers;</w:t>
      </w:r>
    </w:p>
    <w:p>
      <w:pPr>
        <w:pStyle w:val="Compact"/>
        <w:numPr>
          <w:ilvl w:val="0"/>
          <w:numId w:val="1013"/>
        </w:numPr>
      </w:pPr>
      <w:r>
        <w:t xml:space="preserve">inconsistent numerical padding;</w:t>
      </w:r>
    </w:p>
    <w:p>
      <w:pPr>
        <w:pStyle w:val="Compact"/>
        <w:numPr>
          <w:ilvl w:val="0"/>
          <w:numId w:val="1013"/>
        </w:numPr>
      </w:pPr>
      <w:r>
        <w:t xml:space="preserve">unnumbered EXRs.</w:t>
      </w:r>
    </w:p>
    <w:p>
      <w:pPr>
        <w:pStyle w:val="FirstParagraph"/>
      </w:pPr>
      <w:r>
        <w:t xml:space="preserve">It generates structured findings including</w:t>
      </w:r>
      <w:r>
        <w:t xml:space="preserve"> </w:t>
      </w:r>
      <w:r>
        <w:rPr>
          <w:rStyle w:val="VerbatimChar"/>
        </w:rPr>
        <w:t xml:space="preserve">sequence_gap</w:t>
      </w:r>
      <w:r>
        <w:t xml:space="preserve">,</w:t>
      </w:r>
      <w:r>
        <w:t xml:space="preserve"> </w:t>
      </w:r>
      <w:r>
        <w:rPr>
          <w:rStyle w:val="VerbatimChar"/>
        </w:rPr>
        <w:t xml:space="preserve">duplicate_frame</w:t>
      </w:r>
      <w:r>
        <w:t xml:space="preserve"> </w:t>
      </w:r>
      <w:r>
        <w:t xml:space="preserve">and</w:t>
      </w:r>
      <w:r>
        <w:t xml:space="preserve"> </w:t>
      </w:r>
      <w:r>
        <w:rPr>
          <w:rStyle w:val="VerbatimChar"/>
        </w:rPr>
        <w:t xml:space="preserve">inconsistent_padding</w:t>
      </w:r>
      <w:r>
        <w:t xml:space="preserve">.</w:t>
      </w:r>
    </w:p>
    <w:bookmarkEnd w:id="53"/>
    <w:bookmarkStart w:id="54" w:name="documentation-inconsistency"/>
    <w:p>
      <w:pPr>
        <w:pStyle w:val="Heading2"/>
        <w:keepNext/>
        <w:keepLines/>
      </w:pPr>
      <w:r>
        <w:t xml:space="preserve">11.2 Documentation inconsistency</w:t>
      </w:r>
    </w:p>
    <w:p>
      <w:pPr>
        <w:pStyle w:val="FirstParagraph"/>
      </w:pPr>
      <w:r>
        <w:t xml:space="preserve">Some release documentation still says that automatic gap detection remains future work. This conflicts with the implementation and should be corrected.</w:t>
      </w:r>
    </w:p>
    <w:p>
      <w:pPr>
        <w:pStyle w:val="BodyText"/>
      </w:pPr>
      <w:r>
        <w:t xml:space="preserve">What can remain future work:</w:t>
      </w:r>
    </w:p>
    <w:p>
      <w:pPr>
        <w:pStyle w:val="Compact"/>
        <w:numPr>
          <w:ilvl w:val="0"/>
          <w:numId w:val="1014"/>
        </w:numPr>
      </w:pPr>
      <w:r>
        <w:t xml:space="preserve">show-specific naming policies;</w:t>
      </w:r>
    </w:p>
    <w:p>
      <w:pPr>
        <w:pStyle w:val="Compact"/>
        <w:numPr>
          <w:ilvl w:val="0"/>
          <w:numId w:val="1014"/>
        </w:numPr>
      </w:pPr>
      <w:r>
        <w:t xml:space="preserve">configurable sequence parsers;</w:t>
      </w:r>
    </w:p>
    <w:p>
      <w:pPr>
        <w:pStyle w:val="Compact"/>
        <w:numPr>
          <w:ilvl w:val="0"/>
          <w:numId w:val="1014"/>
        </w:numPr>
      </w:pPr>
      <w:r>
        <w:t xml:space="preserve">recursive/complex production folder layouts;</w:t>
      </w:r>
    </w:p>
    <w:p>
      <w:pPr>
        <w:pStyle w:val="Compact"/>
        <w:numPr>
          <w:ilvl w:val="0"/>
          <w:numId w:val="1014"/>
        </w:numPr>
      </w:pPr>
      <w:r>
        <w:t xml:space="preserve">more sophisticated multi-sequence selection.</w:t>
      </w:r>
    </w:p>
    <w:bookmarkEnd w:id="54"/>
    <w:bookmarkStart w:id="55" w:name="threat-to-validity"/>
    <w:p>
      <w:pPr>
        <w:pStyle w:val="Heading2"/>
        <w:keepNext/>
        <w:keepLines/>
      </w:pPr>
      <w:r>
        <w:t xml:space="preserve">11.3 Threat to validity</w:t>
      </w:r>
    </w:p>
    <w:p>
      <w:pPr>
        <w:pStyle w:val="FirstParagraph"/>
      </w:pPr>
      <w:r>
        <w:t xml:space="preserve">The naming logic is heuristic. It is appropriate for common numbered filenames but does not implement an arbitrary studio naming grammar.</w:t>
      </w:r>
    </w:p>
    <w:bookmarkEnd w:id="55"/>
    <w:bookmarkEnd w:id="56"/>
    <w:bookmarkStart w:id="59" w:name="frame-first-processing"/>
    <w:p>
      <w:pPr>
        <w:pStyle w:val="Heading1"/>
        <w:keepNext/>
        <w:keepLines/>
      </w:pPr>
      <w:r>
        <w:t xml:space="preserve">12. Frame-first processing</w:t>
      </w:r>
    </w:p>
    <w:p>
      <w:pPr>
        <w:pStyle w:val="FirstParagraph"/>
      </w:pPr>
      <w:r>
        <w:rPr>
          <w:b/>
          <w:bCs/>
        </w:rPr>
        <w:t xml:space="preserve">Primary code:</w:t>
      </w:r>
      <w:r>
        <w:t xml:space="preserve"> </w:t>
      </w:r>
      <w:r>
        <w:rPr>
          <w:rStyle w:val="VerbatimChar"/>
        </w:rPr>
        <w:t xml:space="preserve">src/aovguard/core/analysis.py</w:t>
      </w:r>
    </w:p>
    <w:bookmarkStart w:id="57" w:name="confirmed-main-loop"/>
    <w:p>
      <w:pPr>
        <w:pStyle w:val="Heading2"/>
        <w:keepNext/>
        <w:keepLines/>
      </w:pPr>
      <w:r>
        <w:t xml:space="preserve">12.1 Confirmed main loop</w:t>
      </w:r>
    </w:p>
    <w:p>
      <w:pPr>
        <w:pStyle w:val="FirstParagraph"/>
      </w:pPr>
      <w:r>
        <w:t xml:space="preserve">The analysis discovers frames once and then iterates through the discovered frame list (</w:t>
      </w:r>
      <w:r>
        <w:rPr>
          <w:rStyle w:val="VerbatimChar"/>
        </w:rPr>
        <w:t xml:space="preserve">analysis.py:181-195</w:t>
      </w:r>
      <w:r>
        <w:t xml:space="preserve">). For each frame, the shared reader is called once from the main application loop (</w:t>
      </w:r>
      <w:r>
        <w:rPr>
          <w:rStyle w:val="VerbatimChar"/>
        </w:rPr>
        <w:t xml:space="preserve">analysis.py:195-200</w:t>
      </w:r>
      <w:r>
        <w:t xml:space="preserve">).</w:t>
      </w:r>
    </w:p>
    <w:p>
      <w:pPr>
        <w:pStyle w:val="BodyText"/>
      </w:pPr>
      <w:r>
        <w:t xml:space="preserve">The current frame is then used to update:</w:t>
      </w:r>
    </w:p>
    <w:p>
      <w:pPr>
        <w:pStyle w:val="Compact"/>
        <w:numPr>
          <w:ilvl w:val="0"/>
          <w:numId w:val="1015"/>
        </w:numPr>
      </w:pPr>
      <w:r>
        <w:t xml:space="preserve">aggregate metrics;</w:t>
      </w:r>
    </w:p>
    <w:p>
      <w:pPr>
        <w:pStyle w:val="Compact"/>
        <w:numPr>
          <w:ilvl w:val="0"/>
          <w:numId w:val="1015"/>
        </w:numPr>
      </w:pPr>
      <w:r>
        <w:t xml:space="preserve">per-frame metrics;</w:t>
      </w:r>
    </w:p>
    <w:p>
      <w:pPr>
        <w:pStyle w:val="Compact"/>
        <w:numPr>
          <w:ilvl w:val="0"/>
          <w:numId w:val="1015"/>
        </w:numPr>
      </w:pPr>
      <w:r>
        <w:t xml:space="preserve">channel metrics.</w:t>
      </w:r>
    </w:p>
    <w:p>
      <w:pPr>
        <w:pStyle w:val="FirstParagraph"/>
      </w:pPr>
      <w:r>
        <w:t xml:space="preserve">See</w:t>
      </w:r>
      <w:r>
        <w:t xml:space="preserve"> </w:t>
      </w:r>
      <w:r>
        <w:rPr>
          <w:rStyle w:val="VerbatimChar"/>
        </w:rPr>
        <w:t xml:space="preserve">analysis.py:231-257</w:t>
      </w:r>
      <w:r>
        <w:t xml:space="preserve">.</w:t>
      </w:r>
    </w:p>
    <w:bookmarkEnd w:id="57"/>
    <w:bookmarkStart w:id="58" w:name="correct-interpretation"/>
    <w:p>
      <w:pPr>
        <w:pStyle w:val="Heading2"/>
        <w:keepNext/>
        <w:keepLines/>
      </w:pPr>
      <w:r>
        <w:t xml:space="preserve">12.2 Correct interpretation</w:t>
      </w:r>
    </w:p>
    <w:p>
      <w:pPr>
        <w:pStyle w:val="FirstParagraph"/>
      </w:pPr>
      <w:r>
        <w:t xml:space="preserve">The complete sequence of image arrays is not stored inside the final</w:t>
      </w:r>
      <w:r>
        <w:t xml:space="preserve"> </w:t>
      </w:r>
      <w:r>
        <w:rPr>
          <w:rStyle w:val="VerbatimChar"/>
        </w:rPr>
        <w:t xml:space="preserve">AnalysisReport</w:t>
      </w:r>
      <w:r>
        <w:t xml:space="preserve">; the report retains metrics and findings.</w:t>
      </w:r>
    </w:p>
    <w:p>
      <w:pPr>
        <w:pStyle w:val="BodyText"/>
      </w:pPr>
      <w:r>
        <w:t xml:space="preserve">However, avoid the overly literal statement:</w:t>
      </w:r>
    </w:p>
    <w:p>
      <w:pPr>
        <w:pStyle w:val="BlockText"/>
      </w:pPr>
      <w:r>
        <w:t xml:space="preserve">FrameData is guaranteed to be released before the next read.</w:t>
      </w:r>
    </w:p>
    <w:p>
      <w:pPr>
        <w:pStyle w:val="FirstParagraph"/>
      </w:pPr>
      <w:r>
        <w:t xml:space="preserve">There is no explicit</w:t>
      </w:r>
      <w:r>
        <w:t xml:space="preserve"> </w:t>
      </w:r>
      <w:r>
        <w:rPr>
          <w:rStyle w:val="VerbatimChar"/>
        </w:rPr>
        <w:t xml:space="preserve">del frame</w:t>
      </w:r>
      <w:r>
        <w:t xml:space="preserve">, and Python object lifetime should not be overdescribed. A more accurate statement is:</w:t>
      </w:r>
    </w:p>
    <w:p>
      <w:pPr>
        <w:pStyle w:val="BlockText"/>
      </w:pPr>
      <w:r>
        <w:t xml:space="preserve">Pixel arrays are processed sequentially and the complete sequence is not retained in the report model.</w:t>
      </w:r>
    </w:p>
    <w:bookmarkEnd w:id="58"/>
    <w:bookmarkEnd w:id="59"/>
    <w:bookmarkStart w:id="65" w:name="recorded-frame-first-benchmark"/>
    <w:p>
      <w:pPr>
        <w:pStyle w:val="Heading1"/>
        <w:keepNext/>
        <w:keepLines/>
      </w:pPr>
      <w:r>
        <w:t xml:space="preserve">13. Recorded frame-first benchmark</w:t>
      </w:r>
    </w:p>
    <w:p>
      <w:pPr>
        <w:pStyle w:val="FirstParagraph"/>
      </w:pPr>
      <w:r>
        <w:rPr>
          <w:b/>
          <w:bCs/>
        </w:rPr>
        <w:t xml:space="preserve">Evidence file:</w:t>
      </w:r>
      <w:r>
        <w:t xml:space="preserve"> </w:t>
      </w:r>
      <w:r>
        <w:rPr>
          <w:rStyle w:val="VerbatimChar"/>
        </w:rPr>
        <w:t xml:space="preserve">experiments/benchmark_results.json</w:t>
      </w:r>
    </w:p>
    <w:bookmarkStart w:id="60" w:name="recorded-environment"/>
    <w:p>
      <w:pPr>
        <w:pStyle w:val="Heading2"/>
        <w:keepNext/>
        <w:keepLines/>
      </w:pPr>
      <w:r>
        <w:t xml:space="preserve">13.1 Recorded environment</w:t>
      </w:r>
    </w:p>
    <w:p>
      <w:pPr>
        <w:pStyle w:val="Compact"/>
        <w:numPr>
          <w:ilvl w:val="0"/>
          <w:numId w:val="1016"/>
        </w:numPr>
      </w:pPr>
      <w:r>
        <w:t xml:space="preserve">Windows 11</w:t>
      </w:r>
    </w:p>
    <w:p>
      <w:pPr>
        <w:pStyle w:val="Compact"/>
        <w:numPr>
          <w:ilvl w:val="0"/>
          <w:numId w:val="1016"/>
        </w:numPr>
      </w:pPr>
      <w:r>
        <w:t xml:space="preserve">Python 3.12.12</w:t>
      </w:r>
    </w:p>
    <w:p>
      <w:pPr>
        <w:pStyle w:val="Compact"/>
        <w:numPr>
          <w:ilvl w:val="0"/>
          <w:numId w:val="1016"/>
        </w:numPr>
      </w:pPr>
      <w:r>
        <w:t xml:space="preserve">NumPy 2.4.6</w:t>
      </w:r>
    </w:p>
    <w:p>
      <w:pPr>
        <w:pStyle w:val="Compact"/>
        <w:numPr>
          <w:ilvl w:val="0"/>
          <w:numId w:val="1016"/>
        </w:numPr>
      </w:pPr>
      <w:r>
        <w:t xml:space="preserve">OpenEXR 3.4.12</w:t>
      </w:r>
    </w:p>
    <w:bookmarkEnd w:id="60"/>
    <w:bookmarkStart w:id="61" w:name="dataset"/>
    <w:p>
      <w:pPr>
        <w:pStyle w:val="Heading2"/>
        <w:keepNext/>
        <w:keepLines/>
      </w:pPr>
      <w:r>
        <w:t xml:space="preserve">13.2 Dataset</w:t>
      </w:r>
    </w:p>
    <w:p>
      <w:pPr>
        <w:pStyle w:val="Compact"/>
        <w:numPr>
          <w:ilvl w:val="0"/>
          <w:numId w:val="1017"/>
        </w:numPr>
      </w:pPr>
      <w:r>
        <w:t xml:space="preserve">12 frames</w:t>
      </w:r>
    </w:p>
    <w:p>
      <w:pPr>
        <w:pStyle w:val="Compact"/>
        <w:numPr>
          <w:ilvl w:val="0"/>
          <w:numId w:val="1017"/>
        </w:numPr>
      </w:pPr>
      <w:r>
        <w:t xml:space="preserve">5 colour AOVs</w:t>
      </w:r>
    </w:p>
    <w:p>
      <w:pPr>
        <w:pStyle w:val="Compact"/>
        <w:numPr>
          <w:ilvl w:val="0"/>
          <w:numId w:val="1017"/>
        </w:numPr>
      </w:pPr>
      <w:r>
        <w:t xml:space="preserve">320 x 180 pixels</w:t>
      </w:r>
    </w:p>
    <w:p>
      <w:pPr>
        <w:pStyle w:val="Compact"/>
        <w:numPr>
          <w:ilvl w:val="0"/>
          <w:numId w:val="1017"/>
        </w:numPr>
      </w:pPr>
      <w:r>
        <w:t xml:space="preserve">3 repetitions per strategy</w:t>
      </w:r>
    </w:p>
    <w:bookmarkEnd w:id="61"/>
    <w:bookmarkStart w:id="62" w:name="recorded-result"/>
    <w:p>
      <w:pPr>
        <w:pStyle w:val="Heading2"/>
        <w:keepNext/>
        <w:keepLines/>
      </w:pPr>
      <w:r>
        <w:t xml:space="preserve">13.3 Recorded result</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30" w:before="30"/>
              <w:jc w:val="left"/>
            </w:pPr>
            <w:r>
              <w:rPr>
                <w:rFonts w:ascii="Aptos" w:hAnsi="Aptos"/>
                <w:b/>
                <w:color w:val="17365D"/>
                <w:sz w:val="17"/>
              </w:rPr>
              <w:t xml:space="preserve">Metric</w:t>
            </w:r>
          </w:p>
        </w:tc>
        <w:tc>
          <w:tcPr>
            <w:vAlign w:val="center"/>
            <w:shd w:fill="DCE6F1"/>
          </w:tcPr>
          <w:p>
            <w:pPr>
              <w:pStyle w:val="Compact"/>
              <w:spacing w:after="30" w:before="30"/>
              <w:jc w:val="right"/>
            </w:pPr>
            <w:r>
              <w:rPr>
                <w:rFonts w:ascii="Aptos" w:hAnsi="Aptos"/>
                <w:b/>
                <w:color w:val="17365D"/>
                <w:sz w:val="17"/>
              </w:rPr>
              <w:t xml:space="preserve">AOV-first</w:t>
            </w:r>
          </w:p>
        </w:tc>
        <w:tc>
          <w:tcPr>
            <w:vAlign w:val="center"/>
            <w:shd w:fill="DCE6F1"/>
          </w:tcPr>
          <w:p>
            <w:pPr>
              <w:pStyle w:val="Compact"/>
              <w:spacing w:after="30" w:before="30"/>
              <w:jc w:val="right"/>
            </w:pPr>
            <w:r>
              <w:rPr>
                <w:rFonts w:ascii="Aptos" w:hAnsi="Aptos"/>
                <w:b/>
                <w:color w:val="17365D"/>
                <w:sz w:val="17"/>
              </w:rPr>
              <w:t xml:space="preserve">Frame-first</w:t>
            </w:r>
          </w:p>
        </w:tc>
      </w:tr>
      <w:tr>
        <w:tc>
          <w:tcPr>
            <w:vAlign w:val="center"/>
          </w:tcPr>
          <w:p>
            <w:pPr>
              <w:pStyle w:val="Compact"/>
              <w:spacing w:after="30" w:before="30"/>
              <w:jc w:val="left"/>
            </w:pPr>
            <w:r>
              <w:rPr>
                <w:rFonts w:ascii="Aptos" w:hAnsi="Aptos"/>
                <w:sz w:val="17"/>
              </w:rPr>
              <w:t xml:space="preserve">Application-level reader calls</w:t>
            </w:r>
          </w:p>
        </w:tc>
        <w:tc>
          <w:tcPr>
            <w:vAlign w:val="center"/>
          </w:tcPr>
          <w:p>
            <w:pPr>
              <w:pStyle w:val="Compact"/>
              <w:spacing w:after="30" w:before="30"/>
              <w:jc w:val="right"/>
            </w:pPr>
            <w:r>
              <w:rPr>
                <w:rFonts w:ascii="Aptos" w:hAnsi="Aptos"/>
                <w:sz w:val="17"/>
              </w:rPr>
              <w:t xml:space="preserve">60</w:t>
            </w:r>
          </w:p>
        </w:tc>
        <w:tc>
          <w:tcPr>
            <w:vAlign w:val="center"/>
          </w:tcPr>
          <w:p>
            <w:pPr>
              <w:pStyle w:val="Compact"/>
              <w:spacing w:after="30" w:before="30"/>
              <w:jc w:val="right"/>
            </w:pPr>
            <w:r>
              <w:rPr>
                <w:rFonts w:ascii="Aptos" w:hAnsi="Aptos"/>
                <w:sz w:val="17"/>
              </w:rPr>
              <w:t xml:space="preserve">12</w:t>
            </w:r>
          </w:p>
        </w:tc>
      </w:tr>
      <w:tr>
        <w:tc>
          <w:tcPr>
            <w:vAlign w:val="center"/>
          </w:tcPr>
          <w:p>
            <w:pPr>
              <w:pStyle w:val="Compact"/>
              <w:spacing w:after="30" w:before="30"/>
              <w:jc w:val="left"/>
            </w:pPr>
            <w:r>
              <w:rPr>
                <w:rFonts w:ascii="Aptos" w:hAnsi="Aptos"/>
                <w:sz w:val="17"/>
              </w:rPr>
              <w:t xml:space="preserve">Median time</w:t>
            </w:r>
          </w:p>
        </w:tc>
        <w:tc>
          <w:tcPr>
            <w:vAlign w:val="center"/>
          </w:tcPr>
          <w:p>
            <w:pPr>
              <w:pStyle w:val="Compact"/>
              <w:spacing w:after="30" w:before="30"/>
              <w:jc w:val="right"/>
            </w:pPr>
            <w:r>
              <w:rPr>
                <w:rFonts w:ascii="Aptos" w:hAnsi="Aptos"/>
                <w:sz w:val="17"/>
              </w:rPr>
              <w:t xml:space="preserve">0.325498 s</w:t>
            </w:r>
          </w:p>
        </w:tc>
        <w:tc>
          <w:tcPr>
            <w:vAlign w:val="center"/>
          </w:tcPr>
          <w:p>
            <w:pPr>
              <w:pStyle w:val="Compact"/>
              <w:spacing w:after="30" w:before="30"/>
              <w:jc w:val="right"/>
            </w:pPr>
            <w:r>
              <w:rPr>
                <w:rFonts w:ascii="Aptos" w:hAnsi="Aptos"/>
                <w:sz w:val="17"/>
              </w:rPr>
              <w:t xml:space="preserve">0.079974 s</w:t>
            </w:r>
          </w:p>
        </w:tc>
      </w:tr>
      <w:tr>
        <w:tc>
          <w:tcPr>
            <w:vAlign w:val="center"/>
          </w:tcPr>
          <w:p>
            <w:pPr>
              <w:pStyle w:val="Compact"/>
              <w:spacing w:after="30" w:before="30"/>
              <w:jc w:val="left"/>
            </w:pPr>
            <w:r>
              <w:rPr>
                <w:rFonts w:ascii="Aptos" w:hAnsi="Aptos"/>
                <w:sz w:val="17"/>
              </w:rPr>
              <w:t xml:space="preserve">Median Python-tracked peak memory</w:t>
            </w:r>
          </w:p>
        </w:tc>
        <w:tc>
          <w:tcPr>
            <w:vAlign w:val="center"/>
          </w:tcPr>
          <w:p>
            <w:pPr>
              <w:pStyle w:val="Compact"/>
              <w:spacing w:after="30" w:before="30"/>
              <w:jc w:val="right"/>
            </w:pPr>
            <w:r>
              <w:rPr>
                <w:rFonts w:ascii="Aptos" w:hAnsi="Aptos"/>
                <w:sz w:val="17"/>
              </w:rPr>
              <w:t xml:space="preserve">5,577,044 B</w:t>
            </w:r>
          </w:p>
        </w:tc>
        <w:tc>
          <w:tcPr>
            <w:vAlign w:val="center"/>
          </w:tcPr>
          <w:p>
            <w:pPr>
              <w:pStyle w:val="Compact"/>
              <w:spacing w:after="30" w:before="30"/>
              <w:jc w:val="right"/>
            </w:pPr>
            <w:r>
              <w:rPr>
                <w:rFonts w:ascii="Aptos" w:hAnsi="Aptos"/>
                <w:sz w:val="17"/>
              </w:rPr>
              <w:t xml:space="preserve">11,084,492 B</w:t>
            </w:r>
          </w:p>
        </w:tc>
      </w:tr>
      <w:tr>
        <w:tc>
          <w:tcPr>
            <w:vAlign w:val="center"/>
          </w:tcPr>
          <w:p>
            <w:pPr>
              <w:pStyle w:val="Compact"/>
              <w:spacing w:after="30" w:before="30"/>
              <w:jc w:val="left"/>
            </w:pPr>
            <w:r>
              <w:rPr>
                <w:rFonts w:ascii="Aptos" w:hAnsi="Aptos"/>
                <w:sz w:val="17"/>
              </w:rPr>
              <w:t xml:space="preserve">Pixel checksum</w:t>
            </w:r>
          </w:p>
        </w:tc>
        <w:tc>
          <w:tcPr>
            <w:vAlign w:val="center"/>
          </w:tcPr>
          <w:p>
            <w:pPr>
              <w:pStyle w:val="Compact"/>
              <w:spacing w:after="30" w:before="30"/>
              <w:jc w:val="right"/>
            </w:pPr>
            <w:r>
              <w:rPr>
                <w:rFonts w:ascii="Aptos" w:hAnsi="Aptos"/>
                <w:sz w:val="17"/>
              </w:rPr>
              <w:t xml:space="preserve">5,365,412.494333796</w:t>
            </w:r>
          </w:p>
        </w:tc>
        <w:tc>
          <w:tcPr>
            <w:vAlign w:val="center"/>
          </w:tcPr>
          <w:p>
            <w:pPr>
              <w:pStyle w:val="Compact"/>
              <w:spacing w:after="30" w:before="30"/>
              <w:jc w:val="right"/>
            </w:pPr>
            <w:r>
              <w:rPr>
                <w:rFonts w:ascii="Aptos" w:hAnsi="Aptos"/>
                <w:sz w:val="17"/>
              </w:rPr>
              <w:t xml:space="preserve">5,365,412.494333796</w:t>
            </w:r>
          </w:p>
        </w:tc>
      </w:tr>
    </w:tbl>
    <w:p>
      <w:pPr>
        <w:pStyle w:val="BodyText"/>
      </w:pPr>
      <w:r>
        <w:t xml:space="preserve">Derived comparison stored in the JSON:</w:t>
      </w:r>
    </w:p>
    <w:p>
      <w:pPr>
        <w:pStyle w:val="Compact"/>
        <w:numPr>
          <w:ilvl w:val="0"/>
          <w:numId w:val="1018"/>
        </w:numPr>
      </w:pPr>
      <w:r>
        <w:t xml:space="preserve">checksums match:</w:t>
      </w:r>
      <w:r>
        <w:t xml:space="preserve"> </w:t>
      </w:r>
      <w:r>
        <w:rPr>
          <w:rStyle w:val="VerbatimChar"/>
        </w:rPr>
        <w:t xml:space="preserve">true</w:t>
      </w:r>
      <w:r>
        <w:t xml:space="preserve">;</w:t>
      </w:r>
    </w:p>
    <w:p>
      <w:pPr>
        <w:pStyle w:val="Compact"/>
        <w:numPr>
          <w:ilvl w:val="0"/>
          <w:numId w:val="1018"/>
        </w:numPr>
      </w:pPr>
      <w:r>
        <w:t xml:space="preserve">read-call reduction factor:</w:t>
      </w:r>
      <w:r>
        <w:t xml:space="preserve"> </w:t>
      </w:r>
      <w:r>
        <w:rPr>
          <w:rStyle w:val="VerbatimChar"/>
        </w:rPr>
        <w:t xml:space="preserve">5.0</w:t>
      </w:r>
      <w:r>
        <w:t xml:space="preserve">;</w:t>
      </w:r>
    </w:p>
    <w:p>
      <w:pPr>
        <w:pStyle w:val="Compact"/>
        <w:numPr>
          <w:ilvl w:val="0"/>
          <w:numId w:val="1018"/>
        </w:numPr>
      </w:pPr>
      <w:r>
        <w:t xml:space="preserve">observed median speed-up factor: approximately</w:t>
      </w:r>
      <w:r>
        <w:t xml:space="preserve"> </w:t>
      </w:r>
      <w:r>
        <w:rPr>
          <w:rStyle w:val="VerbatimChar"/>
        </w:rPr>
        <w:t xml:space="preserve">4.07</w:t>
      </w:r>
      <w:r>
        <w:t xml:space="preserve">.</w:t>
      </w:r>
    </w:p>
    <w:bookmarkEnd w:id="62"/>
    <w:bookmarkStart w:id="63" w:name="correct-academic-statement"/>
    <w:p>
      <w:pPr>
        <w:pStyle w:val="Heading2"/>
        <w:keepNext/>
        <w:keepLines/>
      </w:pPr>
      <w:r>
        <w:t xml:space="preserve">13.4 Correct academic statement</w:t>
      </w:r>
    </w:p>
    <w:p>
      <w:pPr>
        <w:pStyle w:val="BlockText"/>
      </w:pPr>
      <w:r>
        <w:t xml:space="preserve">For the recorded 12-frame, five-AOV fixture, frame-first processing reduced application-level reader calls from 60 to 12 and produced an observed median execution-time improvement of approximately 4.07x while producing the same recorded checksum.</w:t>
      </w:r>
    </w:p>
    <w:bookmarkEnd w:id="63"/>
    <w:bookmarkStart w:id="64" w:name="what-this-does-not-prove"/>
    <w:p>
      <w:pPr>
        <w:pStyle w:val="Heading2"/>
        <w:keepNext/>
        <w:keepLines/>
      </w:pPr>
      <w:r>
        <w:t xml:space="preserve">13.5 What this does not prove</w:t>
      </w:r>
    </w:p>
    <w:p>
      <w:pPr>
        <w:pStyle w:val="FirstParagraph"/>
      </w:pPr>
      <w:r>
        <w:t xml:space="preserve">The benchmark does not establish a universal 4.07x speed improvement. External validity is limited by:</w:t>
      </w:r>
    </w:p>
    <w:p>
      <w:pPr>
        <w:pStyle w:val="Compact"/>
        <w:numPr>
          <w:ilvl w:val="0"/>
          <w:numId w:val="1019"/>
        </w:numPr>
      </w:pPr>
      <w:r>
        <w:t xml:space="preserve">one hardware/software environment;</w:t>
      </w:r>
    </w:p>
    <w:p>
      <w:pPr>
        <w:pStyle w:val="Compact"/>
        <w:numPr>
          <w:ilvl w:val="0"/>
          <w:numId w:val="1019"/>
        </w:numPr>
      </w:pPr>
      <w:r>
        <w:t xml:space="preserve">one resolution;</w:t>
      </w:r>
    </w:p>
    <w:p>
      <w:pPr>
        <w:pStyle w:val="Compact"/>
        <w:numPr>
          <w:ilvl w:val="0"/>
          <w:numId w:val="1019"/>
        </w:numPr>
      </w:pPr>
      <w:r>
        <w:t xml:space="preserve">one sequence length;</w:t>
      </w:r>
    </w:p>
    <w:p>
      <w:pPr>
        <w:pStyle w:val="Compact"/>
        <w:numPr>
          <w:ilvl w:val="0"/>
          <w:numId w:val="1019"/>
        </w:numPr>
      </w:pPr>
      <w:r>
        <w:t xml:space="preserve">five colour AOVs;</w:t>
      </w:r>
    </w:p>
    <w:p>
      <w:pPr>
        <w:pStyle w:val="Compact"/>
        <w:numPr>
          <w:ilvl w:val="0"/>
          <w:numId w:val="1019"/>
        </w:numPr>
      </w:pPr>
      <w:r>
        <w:t xml:space="preserve">three repetitions;</w:t>
      </w:r>
    </w:p>
    <w:p>
      <w:pPr>
        <w:pStyle w:val="Compact"/>
        <w:numPr>
          <w:ilvl w:val="0"/>
          <w:numId w:val="1019"/>
        </w:numPr>
      </w:pPr>
      <w:r>
        <w:t xml:space="preserve">possible filesystem/cache effects;</w:t>
      </w:r>
    </w:p>
    <w:p>
      <w:pPr>
        <w:pStyle w:val="Compact"/>
        <w:numPr>
          <w:ilvl w:val="0"/>
          <w:numId w:val="1019"/>
        </w:numPr>
      </w:pPr>
      <w:r>
        <w:t xml:space="preserve">Python</w:t>
      </w:r>
      <w:r>
        <w:t xml:space="preserve"> </w:t>
      </w:r>
      <w:r>
        <w:rPr>
          <w:rStyle w:val="VerbatimChar"/>
        </w:rPr>
        <w:t xml:space="preserve">tracemalloc</w:t>
      </w:r>
      <w:r>
        <w:t xml:space="preserve"> </w:t>
      </w:r>
      <w:r>
        <w:t xml:space="preserve">not representing all native OpenEXR allocations.</w:t>
      </w:r>
    </w:p>
    <w:p>
      <w:pPr>
        <w:pStyle w:val="FirstParagraph"/>
      </w:pPr>
      <w:r>
        <w:t xml:space="preserve">The memory result should be interpreted as a trade-off: frame-first made fewer application-level reads but had a higher Python-tracked transient peak for the current fixture.</w:t>
      </w:r>
    </w:p>
    <w:bookmarkEnd w:id="64"/>
    <w:bookmarkEnd w:id="65"/>
    <w:bookmarkStart w:id="66" w:name="X8519095198e2f3af893e4cf39633d20c678b94a"/>
    <w:p>
      <w:pPr>
        <w:pStyle w:val="Heading1"/>
        <w:keepNext/>
        <w:keepLines/>
      </w:pPr>
      <w:r>
        <w:t xml:space="preserve">14. Backend spike: OpenEXR vs OpenCV vs OpenImageIO</w:t>
      </w:r>
    </w:p>
    <w:p>
      <w:pPr>
        <w:pStyle w:val="FirstParagraph"/>
      </w:pPr>
      <w:r>
        <w:rPr>
          <w:b/>
          <w:bCs/>
        </w:rPr>
        <w:t xml:space="preserve">Evidence:</w:t>
      </w:r>
      <w:r>
        <w:t xml:space="preserve"> </w:t>
      </w:r>
      <w:r>
        <w:rPr>
          <w:rStyle w:val="VerbatimChar"/>
        </w:rPr>
        <w:t xml:space="preserve">experiments/backend_spike_summary.md</w:t>
      </w:r>
      <w:r>
        <w:t xml:space="preserve"> </w:t>
      </w:r>
      <w:r>
        <w:t xml:space="preserve">and related experiment script.</w:t>
      </w:r>
    </w:p>
    <w:p>
      <w:pPr>
        <w:pStyle w:val="BodyText"/>
      </w:pPr>
      <w:r>
        <w:t xml:space="preserve">The recorded spike states that:</w:t>
      </w:r>
    </w:p>
    <w:p>
      <w:pPr>
        <w:pStyle w:val="Compact"/>
        <w:numPr>
          <w:ilvl w:val="0"/>
          <w:numId w:val="1020"/>
        </w:numPr>
      </w:pPr>
      <w:r>
        <w:t xml:space="preserve">OpenEXR 3.4.12 successfully exposed headers, named channels and AOV data and integrated with the inspection model;</w:t>
      </w:r>
    </w:p>
    <w:p>
      <w:pPr>
        <w:pStyle w:val="Compact"/>
        <w:numPr>
          <w:ilvl w:val="0"/>
          <w:numId w:val="1020"/>
        </w:numPr>
      </w:pPr>
      <w:r>
        <w:t xml:space="preserve">OpenCV could read simple RGB EXR imagery but follows BGR conventions and is not a sufficient named multilayer channel interface for the project requirements;</w:t>
      </w:r>
    </w:p>
    <w:p>
      <w:pPr>
        <w:pStyle w:val="Compact"/>
        <w:numPr>
          <w:ilvl w:val="0"/>
          <w:numId w:val="1020"/>
        </w:numPr>
      </w:pPr>
      <w:r>
        <w:t xml:space="preserve">OpenImageIO was installed in the Windows environment but import failed because of a DLL/path issue before EXR reading could be evaluated.</w:t>
      </w:r>
    </w:p>
    <w:p>
      <w:pPr>
        <w:pStyle w:val="FirstParagraph"/>
      </w:pPr>
      <w:r>
        <w:t xml:space="preserve">Correct conclusion:</w:t>
      </w:r>
    </w:p>
    <w:p>
      <w:pPr>
        <w:pStyle w:val="BlockText"/>
      </w:pPr>
      <w:r>
        <w:t xml:space="preserve">OpenEXR was the most suitable successfully validated backend for the MVP environment and requirements.</w:t>
      </w:r>
    </w:p>
    <w:p>
      <w:pPr>
        <w:pStyle w:val="FirstParagraph"/>
      </w:pPr>
      <w:r>
        <w:t xml:space="preserve">Avoid:</w:t>
      </w:r>
    </w:p>
    <w:p>
      <w:pPr>
        <w:pStyle w:val="BlockText"/>
      </w:pPr>
      <w:r>
        <w:t xml:space="preserve">OpenEXR is universally superior to OpenImageIO.</w:t>
      </w:r>
    </w:p>
    <w:p>
      <w:pPr>
        <w:pStyle w:val="FirstParagraph"/>
      </w:pPr>
      <w:r>
        <w:t xml:space="preserve">OpenImageIO remains highly relevant related technology and future work.</w:t>
      </w:r>
    </w:p>
    <w:bookmarkEnd w:id="66"/>
    <w:bookmarkStart w:id="71" w:name="shared-backend-cli-and-gui"/>
    <w:p>
      <w:pPr>
        <w:pStyle w:val="Heading1"/>
        <w:keepNext/>
        <w:keepLines/>
      </w:pPr>
      <w:r>
        <w:t xml:space="preserve">15. Shared backend, CLI and GUI</w:t>
      </w:r>
    </w:p>
    <w:bookmarkStart w:id="67" w:name="cli"/>
    <w:p>
      <w:pPr>
        <w:pStyle w:val="Heading2"/>
        <w:keepNext/>
        <w:keepLines/>
      </w:pPr>
      <w:r>
        <w:t xml:space="preserve">15.1 CLI</w:t>
      </w:r>
    </w:p>
    <w:p>
      <w:pPr>
        <w:pStyle w:val="FirstParagraph"/>
      </w:pPr>
      <w:r>
        <w:rPr>
          <w:rStyle w:val="VerbatimChar"/>
        </w:rPr>
        <w:t xml:space="preserve">src/aovguard/cli.py:227-294</w:t>
      </w:r>
      <w:r>
        <w:t xml:space="preserve"> </w:t>
      </w:r>
      <w:r>
        <w:t xml:space="preserve">exposes the current commands:</w:t>
      </w:r>
    </w:p>
    <w:p>
      <w:pPr>
        <w:pStyle w:val="Compact"/>
        <w:numPr>
          <w:ilvl w:val="0"/>
          <w:numId w:val="1021"/>
        </w:numPr>
      </w:pPr>
      <w:r>
        <w:rPr>
          <w:rStyle w:val="VerbatimChar"/>
        </w:rPr>
        <w:t xml:space="preserve">analyze</w:t>
      </w:r>
      <w:r>
        <w:t xml:space="preserve">;</w:t>
      </w:r>
    </w:p>
    <w:p>
      <w:pPr>
        <w:pStyle w:val="Compact"/>
        <w:numPr>
          <w:ilvl w:val="0"/>
          <w:numId w:val="1021"/>
        </w:numPr>
      </w:pPr>
      <w:r>
        <w:rPr>
          <w:rStyle w:val="VerbatimChar"/>
        </w:rPr>
        <w:t xml:space="preserve">inspect-structure</w:t>
      </w:r>
      <w:r>
        <w:t xml:space="preserve">;</w:t>
      </w:r>
    </w:p>
    <w:p>
      <w:pPr>
        <w:pStyle w:val="Compact"/>
        <w:numPr>
          <w:ilvl w:val="0"/>
          <w:numId w:val="1021"/>
        </w:numPr>
      </w:pPr>
      <w:r>
        <w:rPr>
          <w:rStyle w:val="VerbatimChar"/>
        </w:rPr>
        <w:t xml:space="preserve">check-sequence</w:t>
      </w:r>
      <w:r>
        <w:t xml:space="preserve">.</w:t>
      </w:r>
    </w:p>
    <w:p>
      <w:pPr>
        <w:pStyle w:val="FirstParagraph"/>
      </w:pPr>
      <w:r>
        <w:t xml:space="preserve">Legacy commands remain temporarily for comparison/compatibility.</w:t>
      </w:r>
    </w:p>
    <w:p>
      <w:pPr>
        <w:pStyle w:val="BodyText"/>
      </w:pPr>
      <w:r>
        <w:t xml:space="preserve">The</w:t>
      </w:r>
      <w:r>
        <w:t xml:space="preserve"> </w:t>
      </w:r>
      <w:r>
        <w:rPr>
          <w:rStyle w:val="VerbatimChar"/>
        </w:rPr>
        <w:t xml:space="preserve">analyze</w:t>
      </w:r>
      <w:r>
        <w:t xml:space="preserve"> </w:t>
      </w:r>
      <w:r>
        <w:t xml:space="preserve">command creates an</w:t>
      </w:r>
      <w:r>
        <w:t xml:space="preserve"> </w:t>
      </w:r>
      <w:r>
        <w:rPr>
          <w:rStyle w:val="VerbatimChar"/>
        </w:rPr>
        <w:t xml:space="preserve">OpenEXRReader</w:t>
      </w:r>
      <w:r>
        <w:t xml:space="preserve"> </w:t>
      </w:r>
      <w:r>
        <w:t xml:space="preserve">and calls the shared backend analysis (</w:t>
      </w:r>
      <w:r>
        <w:rPr>
          <w:rStyle w:val="VerbatimChar"/>
        </w:rPr>
        <w:t xml:space="preserve">cli.py:252-271</w:t>
      </w:r>
      <w:r>
        <w:t xml:space="preserve">).</w:t>
      </w:r>
    </w:p>
    <w:bookmarkEnd w:id="67"/>
    <w:bookmarkStart w:id="68" w:name="gui"/>
    <w:p>
      <w:pPr>
        <w:pStyle w:val="Heading2"/>
        <w:keepNext/>
        <w:keepLines/>
      </w:pPr>
      <w:r>
        <w:t xml:space="preserve">15.2 GUI</w:t>
      </w:r>
    </w:p>
    <w:p>
      <w:pPr>
        <w:pStyle w:val="FirstParagraph"/>
      </w:pPr>
      <w:r>
        <w:rPr>
          <w:rStyle w:val="VerbatimChar"/>
        </w:rPr>
        <w:t xml:space="preserve">src/aovguard/ui.py:215-271</w:t>
      </w:r>
      <w:r>
        <w:t xml:space="preserve"> </w:t>
      </w:r>
      <w:r>
        <w:t xml:space="preserve">defines</w:t>
      </w:r>
      <w:r>
        <w:t xml:space="preserve"> </w:t>
      </w:r>
      <w:r>
        <w:rPr>
          <w:rStyle w:val="VerbatimChar"/>
        </w:rPr>
        <w:t xml:space="preserve">AnalyzeWorker</w:t>
      </w:r>
      <w:r>
        <w:t xml:space="preserve">, which constructs options and calls the same</w:t>
      </w:r>
      <w:r>
        <w:t xml:space="preserve"> </w:t>
      </w:r>
      <w:r>
        <w:rPr>
          <w:rStyle w:val="VerbatimChar"/>
        </w:rPr>
        <w:t xml:space="preserve">analyze()</w:t>
      </w:r>
      <w:r>
        <w:t xml:space="preserve"> </w:t>
      </w:r>
      <w:r>
        <w:t xml:space="preserve">function with</w:t>
      </w:r>
      <w:r>
        <w:t xml:space="preserve"> </w:t>
      </w:r>
      <w:r>
        <w:rPr>
          <w:rStyle w:val="VerbatimChar"/>
        </w:rPr>
        <w:t xml:space="preserve">OpenEXRReader</w:t>
      </w:r>
      <w:r>
        <w:t xml:space="preserve"> </w:t>
      </w:r>
      <w:r>
        <w:t xml:space="preserve">(</w:t>
      </w:r>
      <w:r>
        <w:rPr>
          <w:rStyle w:val="VerbatimChar"/>
        </w:rPr>
        <w:t xml:space="preserve">ui.py:247-265</w:t>
      </w:r>
      <w:r>
        <w:t xml:space="preserve">).</w:t>
      </w:r>
    </w:p>
    <w:p>
      <w:pPr>
        <w:pStyle w:val="BodyText"/>
      </w:pPr>
      <w:r>
        <w:t xml:space="preserve">The worker supports progress reporting and cooperative cancellation.</w:t>
      </w:r>
    </w:p>
    <w:p>
      <w:pPr>
        <w:pStyle w:val="BodyText"/>
      </w:pPr>
      <w:r>
        <w:t xml:space="preserve">The GUI also uses</w:t>
      </w:r>
      <w:r>
        <w:t xml:space="preserve"> </w:t>
      </w:r>
      <w:r>
        <w:rPr>
          <w:rStyle w:val="VerbatimChar"/>
        </w:rPr>
        <w:t xml:space="preserve">QThread</w:t>
      </w:r>
      <w:r>
        <w:t xml:space="preserve"> </w:t>
      </w:r>
      <w:r>
        <w:t xml:space="preserve">so the central UI is not blocked by the complete analysis workload.</w:t>
      </w:r>
    </w:p>
    <w:bookmarkEnd w:id="68"/>
    <w:bookmarkStart w:id="69" w:name="safe-claim"/>
    <w:p>
      <w:pPr>
        <w:pStyle w:val="Heading2"/>
        <w:keepNext/>
        <w:keepLines/>
      </w:pPr>
      <w:r>
        <w:t xml:space="preserve">15.3 Safe claim</w:t>
      </w:r>
    </w:p>
    <w:p>
      <w:pPr>
        <w:pStyle w:val="BlockText"/>
      </w:pPr>
      <w:r>
        <w:t xml:space="preserve">CLI and GUI depend on the same central analysis implementation and</w:t>
      </w:r>
      <w:r>
        <w:t xml:space="preserve"> </w:t>
      </w:r>
      <w:r>
        <w:rPr>
          <w:rStyle w:val="VerbatimChar"/>
        </w:rPr>
        <w:t xml:space="preserve">AnalysisReport</w:t>
      </w:r>
      <w:r>
        <w:t xml:space="preserve"> </w:t>
      </w:r>
      <w:r>
        <w:t xml:space="preserve">model.</w:t>
      </w:r>
    </w:p>
    <w:bookmarkEnd w:id="69"/>
    <w:bookmarkStart w:id="70" w:name="X91c58cb898a8a3167a4a3e12b4862d6ba74f5a0"/>
    <w:p>
      <w:pPr>
        <w:pStyle w:val="Heading2"/>
        <w:keepNext/>
        <w:keepLines/>
      </w:pPr>
      <w:r>
        <w:t xml:space="preserve">15.4 Stronger claim that would benefit from direct evidence</w:t>
      </w:r>
    </w:p>
    <w:p>
      <w:pPr>
        <w:pStyle w:val="BlockText"/>
      </w:pPr>
      <w:r>
        <w:t xml:space="preserve">CLI and GUI always produce equivalent validation results for all equivalent inputs/options.</w:t>
      </w:r>
    </w:p>
    <w:p>
      <w:pPr>
        <w:pStyle w:val="FirstParagraph"/>
      </w:pPr>
      <w:r>
        <w:t>This interpretation is now supported by a dedicated integration test that compares the complete canonical CLI and GUI payloads for the same EXR source and analysis options, excluding only the generation timestamp.</w:t>
      </w:r>
    </w:p>
    <w:p>
      <w:pPr>
        <w:pStyle w:val="BodyText"/>
      </w:pPr>
      <w:r>
        <w:t xml:space="preserve">Potential small improvement:</w:t>
      </w:r>
    </w:p>
    <w:p>
      <w:pPr>
        <w:pStyle w:val="Compact"/>
        <w:numPr>
          <w:ilvl w:val="0"/>
          <w:numId w:val="1022"/>
        </w:numPr>
      </w:pPr>
      <w:r>
        <w:t xml:space="preserve">same generated fixture;</w:t>
      </w:r>
    </w:p>
    <w:p>
      <w:pPr>
        <w:pStyle w:val="Compact"/>
        <w:numPr>
          <w:ilvl w:val="0"/>
          <w:numId w:val="1022"/>
        </w:numPr>
      </w:pPr>
      <w:r>
        <w:t xml:space="preserve">same</w:t>
      </w:r>
      <w:r>
        <w:t xml:space="preserve"> </w:t>
      </w:r>
      <w:r>
        <w:rPr>
          <w:rStyle w:val="VerbatimChar"/>
        </w:rPr>
        <w:t xml:space="preserve">AnalysisOptions</w:t>
      </w:r>
      <w:r>
        <w:t xml:space="preserve"> </w:t>
      </w:r>
      <w:r>
        <w:t xml:space="preserve">and rule definitions;</w:t>
      </w:r>
    </w:p>
    <w:p>
      <w:pPr>
        <w:pStyle w:val="Compact"/>
        <w:numPr>
          <w:ilvl w:val="0"/>
          <w:numId w:val="1022"/>
        </w:numPr>
      </w:pPr>
      <w:r>
        <w:t xml:space="preserve">exercise CLI-oriented and GUI-oriented option construction;</w:t>
      </w:r>
    </w:p>
    <w:p>
      <w:pPr>
        <w:pStyle w:val="Compact"/>
        <w:numPr>
          <w:ilvl w:val="0"/>
          <w:numId w:val="1022"/>
        </w:numPr>
      </w:pPr>
      <w:r>
        <w:t xml:space="preserve">compare canonical report payloads.</w:t>
      </w:r>
    </w:p>
    <w:p>
      <w:pPr>
        <w:pStyle w:val="FirstParagraph"/>
      </w:pPr>
      <w:r>
        <w:t xml:space="preserve">This is evidence work, not a new major feature.</w:t>
      </w:r>
    </w:p>
    <w:bookmarkEnd w:id="70"/>
    <w:bookmarkEnd w:id="71"/>
    <w:bookmarkStart w:id="75" w:name="reporting-model"/>
    <w:p>
      <w:pPr>
        <w:pStyle w:val="Heading1"/>
        <w:keepNext/>
        <w:keepLines/>
      </w:pPr>
      <w:r>
        <w:t xml:space="preserve">16. Reporting model</w:t>
      </w:r>
    </w:p>
    <w:bookmarkStart w:id="72" w:name="canonical-report"/>
    <w:p>
      <w:pPr>
        <w:pStyle w:val="Heading2"/>
        <w:keepNext/>
        <w:keepLines/>
      </w:pPr>
      <w:r>
        <w:t xml:space="preserve">16.1 Canonical report</w:t>
      </w:r>
    </w:p>
    <w:p>
      <w:pPr>
        <w:pStyle w:val="FirstParagraph"/>
      </w:pPr>
      <w:r>
        <w:t xml:space="preserve">A single</w:t>
      </w:r>
      <w:r>
        <w:t xml:space="preserve"> </w:t>
      </w:r>
      <w:r>
        <w:rPr>
          <w:rStyle w:val="VerbatimChar"/>
        </w:rPr>
        <w:t xml:space="preserve">AnalysisReport</w:t>
      </w:r>
      <w:r>
        <w:t xml:space="preserve"> </w:t>
      </w:r>
      <w:r>
        <w:t xml:space="preserve">is the source for machine-readable and human-readable output.</w:t>
      </w:r>
    </w:p>
    <w:p>
      <w:pPr>
        <w:pStyle w:val="BodyText"/>
      </w:pPr>
      <w:r>
        <w:t xml:space="preserve">The JSON report includes a schema version and structured data for:</w:t>
      </w:r>
    </w:p>
    <w:p>
      <w:pPr>
        <w:pStyle w:val="Compact"/>
        <w:numPr>
          <w:ilvl w:val="0"/>
          <w:numId w:val="1023"/>
        </w:numPr>
      </w:pPr>
      <w:r>
        <w:t xml:space="preserve">source/tool metadata;</w:t>
      </w:r>
    </w:p>
    <w:p>
      <w:pPr>
        <w:pStyle w:val="Compact"/>
        <w:numPr>
          <w:ilvl w:val="0"/>
          <w:numId w:val="1023"/>
        </w:numPr>
      </w:pPr>
      <w:r>
        <w:t xml:space="preserve">status;</w:t>
      </w:r>
    </w:p>
    <w:p>
      <w:pPr>
        <w:pStyle w:val="Compact"/>
        <w:numPr>
          <w:ilvl w:val="0"/>
          <w:numId w:val="1023"/>
        </w:numPr>
      </w:pPr>
      <w:r>
        <w:t xml:space="preserve">discovered/successful/failed frames;</w:t>
      </w:r>
    </w:p>
    <w:p>
      <w:pPr>
        <w:pStyle w:val="Compact"/>
        <w:numPr>
          <w:ilvl w:val="0"/>
          <w:numId w:val="1023"/>
        </w:numPr>
      </w:pPr>
      <w:r>
        <w:t xml:space="preserve">inspections and inferred AOVs;</w:t>
      </w:r>
    </w:p>
    <w:p>
      <w:pPr>
        <w:pStyle w:val="Compact"/>
        <w:numPr>
          <w:ilvl w:val="0"/>
          <w:numId w:val="1023"/>
        </w:numPr>
      </w:pPr>
      <w:r>
        <w:t xml:space="preserve">aggregate metrics;</w:t>
      </w:r>
    </w:p>
    <w:p>
      <w:pPr>
        <w:pStyle w:val="Compact"/>
        <w:numPr>
          <w:ilvl w:val="0"/>
          <w:numId w:val="1023"/>
        </w:numPr>
      </w:pPr>
      <w:r>
        <w:t xml:space="preserve">per-channel metrics;</w:t>
      </w:r>
    </w:p>
    <w:p>
      <w:pPr>
        <w:pStyle w:val="Compact"/>
        <w:numPr>
          <w:ilvl w:val="0"/>
          <w:numId w:val="1023"/>
        </w:numPr>
      </w:pPr>
      <w:r>
        <w:t xml:space="preserve">per-frame metrics;</w:t>
      </w:r>
    </w:p>
    <w:p>
      <w:pPr>
        <w:pStyle w:val="Compact"/>
        <w:numPr>
          <w:ilvl w:val="0"/>
          <w:numId w:val="1023"/>
        </w:numPr>
      </w:pPr>
      <w:r>
        <w:t xml:space="preserve">sequence results;</w:t>
      </w:r>
    </w:p>
    <w:p>
      <w:pPr>
        <w:pStyle w:val="Compact"/>
        <w:numPr>
          <w:ilvl w:val="0"/>
          <w:numId w:val="1023"/>
        </w:numPr>
      </w:pPr>
      <w:r>
        <w:t xml:space="preserve">rules executed;</w:t>
      </w:r>
    </w:p>
    <w:p>
      <w:pPr>
        <w:pStyle w:val="Compact"/>
        <w:numPr>
          <w:ilvl w:val="0"/>
          <w:numId w:val="1023"/>
        </w:numPr>
      </w:pPr>
      <w:r>
        <w:t xml:space="preserve">findings.</w:t>
      </w:r>
    </w:p>
    <w:p>
      <w:pPr>
        <w:pStyle w:val="FirstParagraph"/>
      </w:pPr>
      <w:r>
        <w:t xml:space="preserve">The HTML report is derived from the same analysis model.</w:t>
      </w:r>
    </w:p>
    <w:bookmarkEnd w:id="72"/>
    <w:bookmarkStart w:id="73" w:name="strict-json"/>
    <w:p>
      <w:pPr>
        <w:pStyle w:val="Heading2"/>
        <w:keepNext/>
        <w:keepLines/>
      </w:pPr>
      <w:r>
        <w:t xml:space="preserve">16.2 Strict JSON</w:t>
      </w:r>
    </w:p>
    <w:p>
      <w:pPr>
        <w:pStyle w:val="FirstParagraph"/>
      </w:pPr>
      <w:r>
        <w:rPr>
          <w:rStyle w:val="VerbatimChar"/>
        </w:rPr>
        <w:t xml:space="preserve">write_analysis_json()</w:t>
      </w:r>
      <w:r>
        <w:t xml:space="preserve"> </w:t>
      </w:r>
      <w:r>
        <w:t xml:space="preserve">uses</w:t>
      </w:r>
      <w:r>
        <w:t xml:space="preserve"> </w:t>
      </w:r>
      <w:r>
        <w:rPr>
          <w:rStyle w:val="VerbatimChar"/>
        </w:rPr>
        <w:t xml:space="preserve">allow_nan=False</w:t>
      </w:r>
      <w:r>
        <w:t xml:space="preserve">, after recursively sanitising non-finite values. This is a good reproducibility/interoperability decision.</w:t>
      </w:r>
    </w:p>
    <w:bookmarkEnd w:id="73"/>
    <w:bookmarkStart w:id="74" w:name="future-work"/>
    <w:p>
      <w:pPr>
        <w:pStyle w:val="Heading2"/>
        <w:keepNext/>
        <w:keepLines/>
      </w:pPr>
      <w:r>
        <w:t xml:space="preserve">16.3 Future work</w:t>
      </w:r>
    </w:p>
    <w:p>
      <w:pPr>
        <w:pStyle w:val="FirstParagraph"/>
      </w:pPr>
      <w:r>
        <w:t xml:space="preserve">A formal JSON Schema for schema version 1.0 would strengthen interoperability but is not required to complete the current MSc submission.</w:t>
      </w:r>
    </w:p>
    <w:bookmarkEnd w:id="74"/>
    <w:bookmarkEnd w:id="75"/>
    <w:bookmarkStart w:id="80" w:name="testing-and-coverage"/>
    <w:p>
      <w:pPr>
        <w:pStyle w:val="Heading1"/>
        <w:keepNext/>
        <w:keepLines/>
      </w:pPr>
      <w:r>
        <w:t xml:space="preserve">17. Testing and coverage</w:t>
      </w:r>
    </w:p>
    <w:bookmarkStart w:id="76" w:name="static-test-suite-inspection"/>
    <w:p>
      <w:pPr>
        <w:pStyle w:val="Heading2"/>
        <w:keepNext/>
        <w:keepLines/>
      </w:pPr>
      <w:r>
        <w:t xml:space="preserve">17.1 Static test-suite inspection</w:t>
      </w:r>
    </w:p>
    <w:p>
      <w:pPr>
        <w:pStyle w:val="FirstParagraph"/>
      </w:pPr>
      <w:r>
        <w:t>The corrected release contains 157 test_* functions. Parameterised cases add 11 additional pytest cases, producing 168 test cases, consistent with the final clean verification run.</w:t>
      </w:r>
      <w:r/>
      <w:r>
        <w:rPr>
          <w:rStyle w:val="VerbatimChar"/>
        </w:rPr>
      </w:r>
      <w:r/>
      <w:r/>
      <w:r/>
      <w:r>
        <w:rPr>
          <w:b/>
          <w:bCs/>
        </w:rPr>
      </w:r>
      <w:r/>
    </w:p>
    <w:bookmarkEnd w:id="76"/>
    <w:bookmarkStart w:id="77" w:name="recorded-release-result"/>
    <w:p>
      <w:pPr>
        <w:pStyle w:val="Heading2"/>
        <w:keepNext/>
        <w:keepLines/>
      </w:pPr>
      <w:r>
        <w:t xml:space="preserve">17.2 Recorded release result</w:t>
      </w:r>
    </w:p>
    <w:p>
      <w:pPr>
        <w:pStyle w:val="FirstParagraph"/>
      </w:pPr>
      <w:r>
        <w:rPr>
          <w:rStyle w:val="VerbatimChar"/>
        </w:rPr>
        <w:t xml:space="preserve">docs/results.md</w:t>
      </w:r>
      <w:r>
        <w:t xml:space="preserve"> </w:t>
      </w:r>
      <w:r>
        <w:t xml:space="preserve">records:</w:t>
      </w:r>
    </w:p>
    <w:p>
      <w:pPr>
        <w:pStyle w:val="Compact"/>
        <w:numPr>
          <w:ilvl w:val="0"/>
          <w:numId w:val="1024"/>
        </w:numPr>
      </w:pPr>
      <w:r>
        <w:t>168 tests completed;</w:t>
      </w:r>
    </w:p>
    <w:p>
      <w:pPr>
        <w:pStyle w:val="Compact"/>
        <w:numPr>
          <w:ilvl w:val="0"/>
          <w:numId w:val="1024"/>
        </w:numPr>
      </w:pPr>
      <w:r>
        <w:t xml:space="preserve">97.50% combined statement/branch coverage;</w:t>
      </w:r>
    </w:p>
    <w:p>
      <w:pPr>
        <w:pStyle w:val="Compact"/>
        <w:numPr>
          <w:ilvl w:val="0"/>
          <w:numId w:val="1024"/>
        </w:numPr>
      </w:pPr>
      <w:r>
        <w:t xml:space="preserve">CI minimum coverage of 90%.</w:t>
      </w:r>
    </w:p>
    <w:p>
      <w:pPr>
        <w:pStyle w:val="FirstParagraph"/>
      </w:pPr>
      <w:r>
        <w:rPr>
          <w:rStyle w:val="VerbatimChar"/>
        </w:rPr>
        <w:t xml:space="preserve">pyproject.toml</w:t>
      </w:r>
      <w:r>
        <w:t xml:space="preserve"> </w:t>
      </w:r>
      <w:r>
        <w:t xml:space="preserve">configures pytest with branch coverage, and</w:t>
      </w:r>
      <w:r>
        <w:t xml:space="preserve"> </w:t>
      </w:r>
      <w:r>
        <w:rPr>
          <w:rStyle w:val="VerbatimChar"/>
        </w:rPr>
        <w:t xml:space="preserve">.github/workflows/ci.yml:17-20</w:t>
      </w:r>
      <w:r>
        <w:t xml:space="preserve"> </w:t>
      </w:r>
      <w:r>
        <w:t xml:space="preserve">runs pytest with</w:t>
      </w:r>
      <w:r>
        <w:t xml:space="preserve"> </w:t>
      </w:r>
      <w:r>
        <w:rPr>
          <w:rStyle w:val="VerbatimChar"/>
        </w:rPr>
        <w:t xml:space="preserve">--cov-fail-under=90 --cov-report=xml</w:t>
      </w:r>
      <w:r>
        <w:t xml:space="preserve">.</w:t>
      </w:r>
    </w:p>
    <w:bookmarkEnd w:id="77"/>
    <w:bookmarkStart w:id="78" w:name="verification-status"/>
    <w:p>
      <w:pPr>
        <w:pStyle w:val="Heading2"/>
        <w:keepNext/>
        <w:keepLines/>
      </w:pPr>
      <w:r>
        <w:t xml:space="preserve">17.3 Verification status</w:t>
      </w:r>
    </w:p>
    <w:p>
      <w:pPr>
        <w:pStyle w:val="FirstParagraph"/>
      </w:pPr>
      <w:r>
        <w:t>A final clean verification run was executed on 11 August 2026 using Python 3.12.12: 168 tests passed and combined statement/branch coverage remained 97.50%. The repository records this result in docs/results.md.</w:t>
      </w:r>
      <w:r/>
      <w:r>
        <w:rPr>
          <w:b/>
          <w:bCs/>
        </w:rPr>
      </w:r>
      <w:r/>
      <w:r/>
    </w:p>
    <w:bookmarkEnd w:id="78"/>
    <w:bookmarkStart w:id="79" w:name="academic-interpretation"/>
    <w:p>
      <w:pPr>
        <w:pStyle w:val="Heading2"/>
        <w:keepNext/>
        <w:keepLines/>
      </w:pPr>
      <w:r>
        <w:t xml:space="preserve">17.4 Academic interpretation</w:t>
      </w:r>
    </w:p>
    <w:p>
      <w:pPr>
        <w:pStyle w:val="FirstParagraph"/>
      </w:pPr>
      <w:r>
        <w:t xml:space="preserve">High coverage is useful evidence that many implementation paths are exercised. It is not proof of correctness, absence of defects or 97.50% reliability.</w:t>
      </w:r>
    </w:p>
    <w:p>
      <w:pPr>
        <w:pStyle w:val="BodyText"/>
      </w:pPr>
      <w:r>
        <w:t xml:space="preserve">This distinction is strongly supported by Inozemtseva and Holmes (2014).</w:t>
      </w:r>
    </w:p>
    <w:bookmarkEnd w:id="79"/>
    <w:bookmarkEnd w:id="80"/>
    <w:bookmarkStart w:id="81" w:name="software-quality-framing"/>
    <w:p>
      <w:pPr>
        <w:pStyle w:val="Heading1"/>
        <w:keepNext/>
        <w:keepLines/>
      </w:pPr>
      <w:r>
        <w:t xml:space="preserve">18. Software quality framing</w:t>
      </w:r>
    </w:p>
    <w:p>
      <w:pPr>
        <w:pStyle w:val="FirstParagraph"/>
      </w:pPr>
      <w:r>
        <w:t xml:space="preserve">ISO/IEC 25010:2023 can be used as a conceptual quality model. Relevant characteristics for discussion may include:</w:t>
      </w:r>
    </w:p>
    <w:p>
      <w:pPr>
        <w:pStyle w:val="Compact"/>
        <w:numPr>
          <w:ilvl w:val="0"/>
          <w:numId w:val="1025"/>
        </w:numPr>
      </w:pPr>
      <w:r>
        <w:t xml:space="preserve">functional suitability;</w:t>
      </w:r>
    </w:p>
    <w:p>
      <w:pPr>
        <w:pStyle w:val="Compact"/>
        <w:numPr>
          <w:ilvl w:val="0"/>
          <w:numId w:val="1025"/>
        </w:numPr>
      </w:pPr>
      <w:r>
        <w:t xml:space="preserve">reliability;</w:t>
      </w:r>
    </w:p>
    <w:p>
      <w:pPr>
        <w:pStyle w:val="Compact"/>
        <w:numPr>
          <w:ilvl w:val="0"/>
          <w:numId w:val="1025"/>
        </w:numPr>
      </w:pPr>
      <w:r>
        <w:t xml:space="preserve">performance efficiency;</w:t>
      </w:r>
    </w:p>
    <w:p>
      <w:pPr>
        <w:pStyle w:val="Compact"/>
        <w:numPr>
          <w:ilvl w:val="0"/>
          <w:numId w:val="1025"/>
        </w:numPr>
      </w:pPr>
      <w:r>
        <w:t xml:space="preserve">maintainability;</w:t>
      </w:r>
    </w:p>
    <w:p>
      <w:pPr>
        <w:pStyle w:val="Compact"/>
        <w:numPr>
          <w:ilvl w:val="0"/>
          <w:numId w:val="1025"/>
        </w:numPr>
      </w:pPr>
      <w:r>
        <w:t xml:space="preserve">usability.</w:t>
      </w:r>
    </w:p>
    <w:p>
      <w:pPr>
        <w:pStyle w:val="FirstParagraph"/>
      </w:pPr>
      <w:r>
        <w:t xml:space="preserve">Do not claim formal ISO compliance or certification. A suitable formulation is:</w:t>
      </w:r>
    </w:p>
    <w:p>
      <w:pPr>
        <w:pStyle w:val="BlockText"/>
      </w:pPr>
      <w:r>
        <w:t xml:space="preserve">Selected ISO/IEC 25010 product-quality characteristics are used as a conceptual framework for discussing the implementation and evaluation.</w:t>
      </w:r>
    </w:p>
    <w:bookmarkEnd w:id="81"/>
    <w:bookmarkStart w:id="82" w:name="Xe5fd17b137a965d3dceea5ab5e4aedaba72ac93"/>
    <w:p>
      <w:pPr>
        <w:pStyle w:val="Heading1"/>
        <w:keepNext/>
        <w:keepLines/>
      </w:pPr>
      <w:r>
        <w:t xml:space="preserve">19. VFX Reference Platform and deployment context</w:t>
      </w:r>
    </w:p>
    <w:p>
      <w:pPr>
        <w:pStyle w:val="FirstParagraph"/>
      </w:pPr>
      <w:r>
        <w:t xml:space="preserve">The CY2026 VFX Reference Platform defines a common industry target intended to reduce incompatibilities. Current CY2026 entries include Python 3.13.x, PySide 6.8.x, NumPy 2.3.x and OpenEXR 3.4.x.</w:t>
      </w:r>
    </w:p>
    <w:p>
      <w:pPr>
        <w:pStyle w:val="BodyText"/>
      </w:pPr>
      <w:r>
        <w:t xml:space="preserve">AOVGuard’s</w:t>
      </w:r>
      <w:r>
        <w:t xml:space="preserve"> </w:t>
      </w:r>
      <w:r>
        <w:rPr>
          <w:rStyle w:val="VerbatimChar"/>
        </w:rPr>
        <w:t xml:space="preserve">pyproject.toml</w:t>
      </w:r>
      <w:r>
        <w:t xml:space="preserve"> </w:t>
      </w:r>
      <w:r>
        <w:t xml:space="preserve">currently declares:</w:t>
      </w:r>
    </w:p>
    <w:p>
      <w:pPr>
        <w:pStyle w:val="SourceCode"/>
      </w:pP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"&gt;=3.11,&lt;3.13"</w:t>
      </w:r>
    </w:p>
    <w:p>
      <w:pPr>
        <w:pStyle w:val="FirstParagraph"/>
      </w:pPr>
      <w:r>
        <w:t xml:space="preserve">and classifiers for Python 3.11 and 3.12.</w:t>
      </w:r>
    </w:p>
    <w:p>
      <w:pPr>
        <w:pStyle w:val="BodyText"/>
      </w:pPr>
      <w:r>
        <w:t xml:space="preserve">Therefore AOVGuard should</w:t>
      </w:r>
      <w:r>
        <w:t xml:space="preserve"> </w:t>
      </w:r>
      <w:r>
        <w:rPr>
          <w:b/>
          <w:bCs/>
        </w:rPr>
        <w:t xml:space="preserve">not</w:t>
      </w:r>
      <w:r>
        <w:t xml:space="preserve"> </w:t>
      </w:r>
      <w:r>
        <w:t xml:space="preserve">be described as CY2026 Python-aligned. The platform is useful as deployment context and future compatibility work.</w:t>
      </w:r>
    </w:p>
    <w:bookmarkEnd w:id="82"/>
    <w:bookmarkStart w:id="90" w:name="X310c439962f289d2930064e1072dbbb52313b5c"/>
    <w:p>
      <w:pPr>
        <w:pStyle w:val="Heading1"/>
        <w:keepNext/>
        <w:keepLines/>
      </w:pPr>
      <w:r>
        <w:t xml:space="preserve">20. Important documentation/code inconsistencies to resolve</w:t>
      </w:r>
    </w:p>
    <w:bookmarkStart w:id="83" w:name="storage-type-overstatement"/>
    <w:p>
      <w:pPr>
        <w:pStyle w:val="Heading2"/>
        <w:keepNext/>
        <w:keepLines/>
      </w:pPr>
      <w:r>
        <w:t xml:space="preserve">20.1 Storage type overstatement</w:t>
      </w:r>
    </w:p>
    <w:p>
      <w:pPr>
        <w:pStyle w:val="FirstParagraph"/>
      </w:pPr>
      <w:r>
        <w:t xml:space="preserve">Some project context describes inspection as recording a storage type.</w:t>
      </w:r>
      <w:r>
        <w:t xml:space="preserve"> </w:t>
      </w:r>
      <w:r>
        <w:rPr>
          <w:rStyle w:val="VerbatimChar"/>
        </w:rPr>
        <w:t xml:space="preserve">FileInspection</w:t>
      </w:r>
      <w:r>
        <w:t xml:space="preserve"> </w:t>
      </w:r>
      <w:r>
        <w:t xml:space="preserve">does not currently contain a</w:t>
      </w:r>
      <w:r>
        <w:t xml:space="preserve"> </w:t>
      </w:r>
      <w:r>
        <w:rPr>
          <w:rStyle w:val="VerbatimChar"/>
        </w:rPr>
        <w:t xml:space="preserve">storage_type</w:t>
      </w:r>
      <w:r>
        <w:t xml:space="preserve"> </w:t>
      </w:r>
      <w:r>
        <w:t xml:space="preserve">field. It stores dimensions, channels, AOV descriptors, part count, deep status and warnings.</w:t>
      </w:r>
    </w:p>
    <w:p>
      <w:pPr>
        <w:pStyle w:val="BodyText"/>
      </w:pPr>
      <w:r>
        <w:t xml:space="preserve">Recommended correction:</w:t>
      </w:r>
    </w:p>
    <w:p>
      <w:pPr>
        <w:pStyle w:val="BlockText"/>
      </w:pPr>
      <w:r>
        <w:t xml:space="preserve">The inspection records dimensions, channel structure, inferred AOV descriptors, part count and deep-data status.</w:t>
      </w:r>
    </w:p>
    <w:bookmarkEnd w:id="83"/>
    <w:bookmarkStart w:id="84" w:name="Xebc084ec04627eff45e3a23b5545c33b3e05226"/>
    <w:p>
      <w:pPr>
        <w:pStyle w:val="Heading2"/>
        <w:keepNext/>
        <w:keepLines/>
      </w:pPr>
      <w:r>
        <w:t xml:space="preserve">20.2 Legacy screenshots presented near current results</w:t>
      </w:r>
    </w:p>
    <w:p>
      <w:pPr>
        <w:pStyle w:val="FirstParagraph"/>
      </w:pPr>
      <w:r>
        <w:t>The screenshots in docs/images/ that show manual Simple/Multilayer selection are now explicitly labelled as historical evidence in README.md and docs/results.md. The current interface is represented by website/assets/aovguard-current-ui.png.</w:t>
      </w:r>
      <w:r/>
      <w:r>
        <w:rPr>
          <w:rStyle w:val="VerbatimChar"/>
        </w:rPr>
      </w:r>
      <w:r/>
      <w:r/>
    </w:p>
    <w:p>
      <w:pPr>
        <w:pStyle w:val="BodyText"/>
      </w:pPr>
      <w:r>
        <w:t>Resolution applied:</w:t>
      </w:r>
    </w:p>
    <w:p>
      <w:pPr>
        <w:pStyle w:val="Compact"/>
        <w:numPr>
          <w:ilvl w:val="0"/>
          <w:numId w:val="1026"/>
        </w:numPr>
      </w:pPr>
      <w:r>
        <w:t>Legacy screenshots are explicitly labelled and retained only as evidence of tests performed with the original prototype.</w:t>
      </w:r>
    </w:p>
    <w:p>
      <w:pPr>
        <w:pStyle w:val="Compact"/>
        <w:numPr>
          <w:ilvl w:val="0"/>
          <w:numId w:val="1026"/>
        </w:numPr>
      </w:pPr>
      <w:r>
        <w:t>The repository includes a current GUI capture and canonical sample JSON/HTML reports; a new current-backend capture using the large external Maya/Arnold file remains optional presentation evidence.</w:t>
      </w:r>
    </w:p>
    <w:bookmarkEnd w:id="84"/>
    <w:bookmarkStart w:id="85" w:name="beauty-inconsistency"/>
    <w:p>
      <w:pPr>
        <w:pStyle w:val="Heading2"/>
        <w:keepNext/>
        <w:keepLines/>
      </w:pPr>
      <w:r>
        <w:t xml:space="preserve">20.3</w:t>
      </w:r>
      <w:r>
        <w:t xml:space="preserve"> </w:t>
      </w:r>
      <w:r>
        <w:rPr>
          <w:rStyle w:val="VerbatimChar"/>
        </w:rPr>
        <w:t xml:space="preserve">beauty</w:t>
      </w:r>
      <w:r>
        <w:t xml:space="preserve"> </w:t>
      </w:r>
      <w:r>
        <w:t xml:space="preserve">inconsistency</w:t>
      </w:r>
    </w:p>
    <w:p>
      <w:pPr>
        <w:pStyle w:val="FirstParagraph"/>
      </w:pPr>
      <w:r>
        <w:t xml:space="preserve">The current inspector creates a</w:t>
      </w:r>
      <w:r>
        <w:t xml:space="preserve"> </w:t>
      </w:r>
      <w:r>
        <w:rPr>
          <w:rStyle w:val="VerbatimChar"/>
        </w:rPr>
        <w:t xml:space="preserve">beauty</w:t>
      </w:r>
      <w:r>
        <w:t xml:space="preserve"> </w:t>
      </w:r>
      <w:r>
        <w:t xml:space="preserve">descriptor from root RGB (</w:t>
      </w:r>
      <w:r>
        <w:rPr>
          <w:rStyle w:val="VerbatimChar"/>
        </w:rPr>
        <w:t xml:space="preserve">inspector.py:157-166</w:t>
      </w:r>
      <w:r>
        <w:t xml:space="preserve">). Some documentation lists the real Maya/Arnold AOV structure without</w:t>
      </w:r>
      <w:r>
        <w:t xml:space="preserve"> </w:t>
      </w:r>
      <w:r>
        <w:rPr>
          <w:rStyle w:val="VerbatimChar"/>
        </w:rPr>
        <w:t xml:space="preserve">beauty</w:t>
      </w:r>
      <w:r>
        <w:t xml:space="preserve">, while current results include it. The docs should use one consistent current-backend interpretation.</w:t>
      </w:r>
    </w:p>
    <w:bookmarkEnd w:id="85"/>
    <w:bookmarkStart w:id="86" w:name="preset-category-override-claim"/>
    <w:p>
      <w:pPr>
        <w:pStyle w:val="Heading2"/>
        <w:keepNext/>
        <w:keepLines/>
      </w:pPr>
      <w:r>
        <w:t xml:space="preserve">20.4 Preset category override claim</w:t>
      </w:r>
    </w:p>
    <w:p>
      <w:pPr>
        <w:pStyle w:val="FirstParagraph"/>
      </w:pPr>
      <w:r>
        <w:t xml:space="preserve">The rule preset model does not implement AOV category overrides. Remove or reword documentation that implies it does.</w:t>
      </w:r>
    </w:p>
    <w:bookmarkEnd w:id="86"/>
    <w:bookmarkStart w:id="87" w:name="gap-detection-listed-as-future-work"/>
    <w:p>
      <w:pPr>
        <w:pStyle w:val="Heading2"/>
        <w:keepNext/>
        <w:keepLines/>
      </w:pPr>
      <w:r>
        <w:t>20.5 Gap-detection documentation (resolved)</w:t>
      </w:r>
    </w:p>
    <w:p>
      <w:pPr>
        <w:pStyle w:val="FirstParagraph"/>
      </w:pPr>
      <w:r>
        <w:rPr>
          <w:rStyle w:val="VerbatimChar"/>
        </w:rPr>
        <w:t>Resolved on 11 August 2026. docs/limitations.md and docs/real_exr_validation.md now describe the implemented gap, duplicate-frame and padding checks, together with the supported final-numeric-token naming convention.</w:t>
      </w:r>
      <w:r/>
      <w:r/>
    </w:p>
    <w:bookmarkEnd w:id="87"/>
    <w:bookmarkStart w:id="88" w:name="development-status-5---productionstable"/>
    <w:p>
      <w:pPr>
        <w:pStyle w:val="Heading2"/>
        <w:keepNext/>
        <w:keepLines/>
      </w:pPr>
      <w:r>
        <w:t>20.6 Package maturity classifier (resolved)</w:t>
      </w:r>
      <w:r/>
      <w:r>
        <w:rPr>
          <w:rStyle w:val="VerbatimChar"/>
        </w:rPr>
      </w:r>
    </w:p>
    <w:p>
      <w:pPr>
        <w:pStyle w:val="FirstParagraph"/>
      </w:pPr>
      <w:r>
        <w:rPr>
          <w:rStyle w:val="VerbatimChar"/>
        </w:rPr>
        <w:t>Resolved on 11 August 2026. pyproject.toml now uses Development Status :: 4 - Beta, which is consistent with the documented limitations and current validation scope.</w:t>
      </w:r>
      <w:r/>
      <w:r/>
      <w:r/>
      <w:r>
        <w:rPr>
          <w:rStyle w:val="VerbatimChar"/>
        </w:rPr>
      </w:r>
      <w:r/>
      <w:r/>
    </w:p>
    <w:bookmarkEnd w:id="88"/>
    <w:bookmarkStart w:id="89" w:name="recorded-test-date"/>
    <w:p>
      <w:pPr>
        <w:pStyle w:val="Heading2"/>
        <w:keepNext/>
        <w:keepLines/>
      </w:pPr>
      <w:r>
        <w:t>20.7 Final verification date (resolved)</w:t>
      </w:r>
    </w:p>
    <w:p>
      <w:pPr>
        <w:pStyle w:val="FirstParagraph"/>
      </w:pPr>
      <w:r>
        <w:t>The final clean verification date is 11 August 2026. The run completed 168 tests with 97.50% combined statement/branch coverage, and docs/results.md now records this date and result consistently.</w:t>
      </w:r>
    </w:p>
    <w:bookmarkEnd w:id="89"/>
    <w:bookmarkEnd w:id="90"/>
    <w:bookmarkStart w:id="126" w:name="reference-by-reference-analysis"/>
    <w:p>
      <w:pPr>
        <w:pStyle w:val="Heading1"/>
        <w:keepNext/>
        <w:keepLines/>
      </w:pPr>
      <w:r>
        <w:t xml:space="preserve">21. Reference-by-reference analysis</w:t>
      </w:r>
    </w:p>
    <w:p>
      <w:pPr>
        <w:pStyle w:val="FirstParagraph"/>
      </w:pPr>
      <w:r>
        <w:t xml:space="preserve">This section maps each major source to the exact role it should play. A source should not be cited merely because it is related to computer graphics; it should support a specific statement or methodological choice.</w:t>
      </w:r>
    </w:p>
    <w:bookmarkStart w:id="91" w:name="X6a2cae2d7f5c56bf9e867c04581cc44728f2f39"/>
    <w:p>
      <w:pPr>
        <w:pStyle w:val="Heading2"/>
        <w:keepNext/>
        <w:keepLines/>
      </w:pPr>
      <w:r>
        <w:t xml:space="preserve">21.1 OpenEXR Technical Introduction - Academy Software Foundation</w:t>
      </w:r>
    </w:p>
    <w:p>
      <w:pPr>
        <w:pStyle w:val="FirstParagraph"/>
      </w:pPr>
      <w:r>
        <w:rPr>
          <w:b/>
          <w:bCs/>
        </w:rPr>
        <w:t xml:space="preserve">Type:</w:t>
      </w:r>
      <w:r>
        <w:t xml:space="preserve"> </w:t>
      </w:r>
      <w:r>
        <w:t xml:space="preserve">Official primary technical documentation.</w:t>
      </w:r>
      <w:r>
        <w:br/>
      </w:r>
      <w:r>
        <w:rPr>
          <w:b/>
          <w:bCs/>
        </w:rPr>
        <w:t xml:space="preserve">URL:</w:t>
      </w:r>
      <w:r>
        <w:t xml:space="preserve"> </w:t>
      </w:r>
      <w:r>
        <w:t xml:space="preserve">https://openexr.com/en/latest/TechnicalIntroduction.html</w:t>
      </w:r>
    </w:p>
    <w:p>
      <w:pPr>
        <w:pStyle w:val="BodyText"/>
      </w:pPr>
      <w:r>
        <w:rPr>
          <w:b/>
          <w:bCs/>
        </w:rPr>
        <w:t xml:space="preserve">Supports:</w:t>
      </w:r>
    </w:p>
    <w:p>
      <w:pPr>
        <w:pStyle w:val="Compact"/>
        <w:numPr>
          <w:ilvl w:val="0"/>
          <w:numId w:val="1027"/>
        </w:numPr>
      </w:pPr>
      <w:r>
        <w:t xml:space="preserve">OpenEXR as a professional HDR/CG image format;</w:t>
      </w:r>
    </w:p>
    <w:p>
      <w:pPr>
        <w:pStyle w:val="Compact"/>
        <w:numPr>
          <w:ilvl w:val="0"/>
          <w:numId w:val="1027"/>
        </w:numPr>
      </w:pPr>
      <w:r>
        <w:t xml:space="preserve">arbitrary channels and metadata;</w:t>
      </w:r>
    </w:p>
    <w:p>
      <w:pPr>
        <w:pStyle w:val="Compact"/>
        <w:numPr>
          <w:ilvl w:val="0"/>
          <w:numId w:val="1027"/>
        </w:numPr>
      </w:pPr>
      <w:r>
        <w:t xml:space="preserve">deep data concepts;</w:t>
      </w:r>
    </w:p>
    <w:p>
      <w:pPr>
        <w:pStyle w:val="Compact"/>
        <w:numPr>
          <w:ilvl w:val="0"/>
          <w:numId w:val="1027"/>
        </w:numPr>
      </w:pPr>
      <w:r>
        <w:t xml:space="preserve">broader EXR capabilities beyond ordinary RGB images.</w:t>
      </w:r>
    </w:p>
    <w:p>
      <w:pPr>
        <w:pStyle w:val="FirstParagraph"/>
      </w:pPr>
      <w:r>
        <w:rPr>
          <w:b/>
          <w:bCs/>
        </w:rPr>
        <w:t xml:space="preserve">Use in AOVGuard:</w:t>
      </w:r>
      <w:r>
        <w:t xml:space="preserve"> </w:t>
      </w:r>
      <w:r>
        <w:t xml:space="preserve">Background, file-structure motivation, limitations.</w:t>
      </w:r>
    </w:p>
    <w:p>
      <w:pPr>
        <w:pStyle w:val="BodyText"/>
      </w:pPr>
      <w:r>
        <w:rPr>
          <w:b/>
          <w:bCs/>
        </w:rPr>
        <w:t xml:space="preserve">Does not support:</w:t>
      </w:r>
      <w:r>
        <w:t xml:space="preserve"> </w:t>
      </w:r>
      <w:r>
        <w:t xml:space="preserve">AOVGuard-specific validation rules or performance claims.</w:t>
      </w:r>
    </w:p>
    <w:bookmarkEnd w:id="91"/>
    <w:bookmarkStart w:id="92" w:name="X05afe4ed7d2a9f905efd9be4d0c79b60c97db48"/>
    <w:p>
      <w:pPr>
        <w:pStyle w:val="Heading2"/>
        <w:keepNext/>
        <w:keepLines/>
      </w:pPr>
      <w:r>
        <w:t xml:space="preserve">21.2 OpenEXR File Layout - Academy Software Foundation</w:t>
      </w:r>
    </w:p>
    <w:p>
      <w:pPr>
        <w:pStyle w:val="FirstParagraph"/>
      </w:pPr>
      <w:r>
        <w:rPr>
          <w:b/>
          <w:bCs/>
        </w:rPr>
        <w:t xml:space="preserve">Type:</w:t>
      </w:r>
      <w:r>
        <w:t xml:space="preserve"> </w:t>
      </w:r>
      <w:r>
        <w:t xml:space="preserve">Official primary technical documentation.</w:t>
      </w:r>
      <w:r>
        <w:br/>
      </w:r>
      <w:r>
        <w:rPr>
          <w:b/>
          <w:bCs/>
        </w:rPr>
        <w:t xml:space="preserve">URL:</w:t>
      </w:r>
      <w:r>
        <w:t xml:space="preserve"> </w:t>
      </w:r>
      <w:r>
        <w:t xml:space="preserve">https://openexr.com/en/latest/OpenEXRFileLayout.html</w:t>
      </w:r>
    </w:p>
    <w:p>
      <w:pPr>
        <w:pStyle w:val="BodyText"/>
      </w:pPr>
      <w:r>
        <w:rPr>
          <w:b/>
          <w:bCs/>
        </w:rPr>
        <w:t xml:space="preserve">Supports:</w:t>
      </w:r>
    </w:p>
    <w:p>
      <w:pPr>
        <w:pStyle w:val="Compact"/>
        <w:numPr>
          <w:ilvl w:val="0"/>
          <w:numId w:val="1028"/>
        </w:numPr>
      </w:pPr>
      <w:r>
        <w:t xml:space="preserve">structural distinction between normal, multipart and deep representations;</w:t>
      </w:r>
    </w:p>
    <w:p>
      <w:pPr>
        <w:pStyle w:val="Compact"/>
        <w:numPr>
          <w:ilvl w:val="0"/>
          <w:numId w:val="1028"/>
        </w:numPr>
      </w:pPr>
      <w:r>
        <w:t xml:space="preserve">why unsupported EXR structures require explicit handling.</w:t>
      </w:r>
    </w:p>
    <w:p>
      <w:pPr>
        <w:pStyle w:val="FirstParagraph"/>
      </w:pPr>
      <w:r>
        <w:rPr>
          <w:b/>
          <w:bCs/>
        </w:rPr>
        <w:t xml:space="preserve">Use:</w:t>
      </w:r>
      <w:r>
        <w:t xml:space="preserve"> </w:t>
      </w:r>
      <w:r>
        <w:t xml:space="preserve">Background and implementation discussion of</w:t>
      </w:r>
      <w:r>
        <w:t xml:space="preserve"> </w:t>
      </w:r>
      <w:r>
        <w:rPr>
          <w:rStyle w:val="VerbatimChar"/>
        </w:rPr>
        <w:t xml:space="preserve">part_count</w:t>
      </w:r>
      <w:r>
        <w:t xml:space="preserve">,</w:t>
      </w:r>
      <w:r>
        <w:t xml:space="preserve"> </w:t>
      </w:r>
      <w:r>
        <w:rPr>
          <w:rStyle w:val="VerbatimChar"/>
        </w:rPr>
        <w:t xml:space="preserve">is_deep</w:t>
      </w:r>
      <w:r>
        <w:t xml:space="preserve">, unsupported structures.</w:t>
      </w:r>
    </w:p>
    <w:bookmarkEnd w:id="92"/>
    <w:bookmarkStart w:id="93" w:name="X89774bbf2639f8f7808fa3d5d71ef363b2351be"/>
    <w:p>
      <w:pPr>
        <w:pStyle w:val="Heading2"/>
        <w:keepNext/>
        <w:keepLines/>
      </w:pPr>
      <w:r>
        <w:t xml:space="preserve">21.3 OpenEXR Python Module - Academy Software Foundation</w:t>
      </w:r>
    </w:p>
    <w:p>
      <w:pPr>
        <w:pStyle w:val="FirstParagraph"/>
      </w:pPr>
      <w:r>
        <w:rPr>
          <w:b/>
          <w:bCs/>
        </w:rPr>
        <w:t xml:space="preserve">Type:</w:t>
      </w:r>
      <w:r>
        <w:t xml:space="preserve"> </w:t>
      </w:r>
      <w:r>
        <w:t xml:space="preserve">Official API documentation.</w:t>
      </w:r>
      <w:r>
        <w:br/>
      </w:r>
      <w:r>
        <w:rPr>
          <w:b/>
          <w:bCs/>
        </w:rPr>
        <w:t xml:space="preserve">URL:</w:t>
      </w:r>
      <w:r>
        <w:t xml:space="preserve"> </w:t>
      </w:r>
      <w:r>
        <w:t xml:space="preserve">https://openexr.com/en/latest/python.html</w:t>
      </w:r>
    </w:p>
    <w:p>
      <w:pPr>
        <w:pStyle w:val="BodyText"/>
      </w:pPr>
      <w:r>
        <w:rPr>
          <w:b/>
          <w:bCs/>
        </w:rPr>
        <w:t xml:space="preserve">Supports:</w:t>
      </w:r>
    </w:p>
    <w:p>
      <w:pPr>
        <w:pStyle w:val="Compact"/>
        <w:numPr>
          <w:ilvl w:val="0"/>
          <w:numId w:val="1029"/>
        </w:numPr>
      </w:pPr>
      <w:r>
        <w:t xml:space="preserve">use of</w:t>
      </w:r>
      <w:r>
        <w:t xml:space="preserve"> </w:t>
      </w:r>
      <w:r>
        <w:rPr>
          <w:rStyle w:val="VerbatimChar"/>
        </w:rPr>
        <w:t xml:space="preserve">OpenEXR.File</w:t>
      </w:r>
      <w:r>
        <w:t xml:space="preserve">;</w:t>
      </w:r>
    </w:p>
    <w:p>
      <w:pPr>
        <w:pStyle w:val="Compact"/>
        <w:numPr>
          <w:ilvl w:val="0"/>
          <w:numId w:val="1029"/>
        </w:numPr>
      </w:pPr>
      <w:r>
        <w:t xml:space="preserve">parts, headers, channel arrays and NumPy-facing Python access.</w:t>
      </w:r>
    </w:p>
    <w:p>
      <w:pPr>
        <w:pStyle w:val="FirstParagraph"/>
      </w:pPr>
      <w:r>
        <w:rPr>
          <w:b/>
          <w:bCs/>
        </w:rPr>
        <w:t xml:space="preserve">Use:</w:t>
      </w:r>
      <w:r>
        <w:t xml:space="preserve"> </w:t>
      </w:r>
      <w:r>
        <w:t xml:space="preserve">Implementation and backend methodology.</w:t>
      </w:r>
    </w:p>
    <w:bookmarkEnd w:id="93"/>
    <w:bookmarkStart w:id="94" w:name="debevec-p.-e.-malik-j.-1997"/>
    <w:p>
      <w:pPr>
        <w:pStyle w:val="Heading2"/>
        <w:keepNext/>
        <w:keepLines/>
      </w:pPr>
      <w:r>
        <w:t xml:space="preserve">21.4 Debevec, P. E., &amp; Malik, J. (1997)</w:t>
      </w:r>
    </w:p>
    <w:p>
      <w:pPr>
        <w:pStyle w:val="FirstParagraph"/>
      </w:pPr>
      <w:r>
        <w:rPr>
          <w:b/>
          <w:bCs/>
        </w:rPr>
        <w:t xml:space="preserve">Reference:</w:t>
      </w:r>
      <w:r>
        <w:t xml:space="preserve"> </w:t>
      </w:r>
      <w:r>
        <w:t xml:space="preserve">Debevec, P. E., &amp; Malik, J. (1997). Recovering high dynamic range radiance maps from photographs.</w:t>
      </w:r>
      <w:r>
        <w:t xml:space="preserve"> </w:t>
      </w:r>
      <w:r>
        <w:rPr>
          <w:i/>
          <w:iCs/>
        </w:rPr>
        <w:t xml:space="preserve">Proceedings of SIGGRAPH 1997</w:t>
      </w:r>
      <w:r>
        <w:t xml:space="preserve">, 369-378. ACM. https://doi.org/10.1145/258734.258884</w:t>
      </w:r>
    </w:p>
    <w:p>
      <w:pPr>
        <w:pStyle w:val="BodyText"/>
      </w:pPr>
      <w:r>
        <w:rPr>
          <w:b/>
          <w:bCs/>
        </w:rPr>
        <w:t xml:space="preserve">Type:</w:t>
      </w:r>
      <w:r>
        <w:t xml:space="preserve"> </w:t>
      </w:r>
      <w:r>
        <w:t xml:space="preserve">Foundational academic HDR paper.</w:t>
      </w:r>
    </w:p>
    <w:p>
      <w:pPr>
        <w:pStyle w:val="BodyText"/>
      </w:pPr>
      <w:r>
        <w:rPr>
          <w:b/>
          <w:bCs/>
        </w:rPr>
        <w:t xml:space="preserve">Supports:</w:t>
      </w:r>
      <w:r>
        <w:t xml:space="preserve"> </w:t>
      </w:r>
      <w:r>
        <w:t xml:space="preserve">historical/academic context for HDR radiance representation.</w:t>
      </w:r>
    </w:p>
    <w:p>
      <w:pPr>
        <w:pStyle w:val="BodyText"/>
      </w:pPr>
      <w:r>
        <w:rPr>
          <w:b/>
          <w:bCs/>
        </w:rPr>
        <w:t xml:space="preserve">Use:</w:t>
      </w:r>
      <w:r>
        <w:t xml:space="preserve"> </w:t>
      </w:r>
      <w:r>
        <w:t xml:space="preserve">Brief HDR background.</w:t>
      </w:r>
    </w:p>
    <w:p>
      <w:pPr>
        <w:pStyle w:val="BodyText"/>
      </w:pPr>
      <w:r>
        <w:rPr>
          <w:b/>
          <w:bCs/>
        </w:rPr>
        <w:t xml:space="preserve">Do not use it to claim:</w:t>
      </w:r>
      <w:r>
        <w:t xml:space="preserve"> </w:t>
      </w:r>
      <w:r>
        <w:t xml:space="preserve">OpenEXR/AOV validation requirements; the paper predates the specific AOVGuard problem.</w:t>
      </w:r>
    </w:p>
    <w:bookmarkEnd w:id="94"/>
    <w:bookmarkStart w:id="95" w:name="reinhard-et-al.-2010"/>
    <w:p>
      <w:pPr>
        <w:pStyle w:val="Heading2"/>
        <w:keepNext/>
        <w:keepLines/>
      </w:pPr>
      <w:r>
        <w:t xml:space="preserve">21.5 Reinhard et al. (2010)</w:t>
      </w:r>
    </w:p>
    <w:p>
      <w:pPr>
        <w:pStyle w:val="FirstParagraph"/>
      </w:pPr>
      <w:r>
        <w:rPr>
          <w:b/>
          <w:bCs/>
        </w:rPr>
        <w:t xml:space="preserve">Reference:</w:t>
      </w:r>
      <w:r>
        <w:t xml:space="preserve"> </w:t>
      </w:r>
      <w:r>
        <w:t xml:space="preserve">Reinhard, E., Heidrich, W., Debevec, P., Pattanaik, S., Ward, G., &amp; Myszkowski, K. (2010).</w:t>
      </w:r>
      <w:r>
        <w:t xml:space="preserve"> </w:t>
      </w:r>
      <w:r>
        <w:rPr>
          <w:i/>
          <w:iCs/>
        </w:rPr>
        <w:t xml:space="preserve">High dynamic range imaging: Acquisition, display, and image-based lighting</w:t>
      </w:r>
      <w:r>
        <w:t xml:space="preserve"> </w:t>
      </w:r>
      <w:r>
        <w:t xml:space="preserve">(2nd ed.). Morgan Kaufmann.</w:t>
      </w:r>
    </w:p>
    <w:p>
      <w:pPr>
        <w:pStyle w:val="BodyText"/>
      </w:pPr>
      <w:r>
        <w:rPr>
          <w:b/>
          <w:bCs/>
        </w:rPr>
        <w:t xml:space="preserve">Type:</w:t>
      </w:r>
      <w:r>
        <w:t xml:space="preserve"> </w:t>
      </w:r>
      <w:r>
        <w:t xml:space="preserve">Specialist technical book.</w:t>
      </w:r>
    </w:p>
    <w:p>
      <w:pPr>
        <w:pStyle w:val="BodyText"/>
      </w:pPr>
      <w:r>
        <w:rPr>
          <w:b/>
          <w:bCs/>
        </w:rPr>
        <w:t xml:space="preserve">Supports:</w:t>
      </w:r>
      <w:r>
        <w:t xml:space="preserve"> </w:t>
      </w:r>
      <w:r>
        <w:t xml:space="preserve">HDR representation, luminance/colour background, exposure and wider image-processing context.</w:t>
      </w:r>
    </w:p>
    <w:p>
      <w:pPr>
        <w:pStyle w:val="BodyText"/>
      </w:pPr>
      <w:r>
        <w:rPr>
          <w:b/>
          <w:bCs/>
        </w:rPr>
        <w:t xml:space="preserve">Use:</w:t>
      </w:r>
      <w:r>
        <w:t xml:space="preserve"> </w:t>
      </w:r>
      <w:r>
        <w:t xml:space="preserve">Broader theoretical foundation complementing the OpenEXR docs.</w:t>
      </w:r>
    </w:p>
    <w:bookmarkEnd w:id="95"/>
    <w:bookmarkStart w:id="96" w:name="itu-r-bt.709-6"/>
    <w:p>
      <w:pPr>
        <w:pStyle w:val="Heading2"/>
        <w:keepNext/>
        <w:keepLines/>
      </w:pPr>
      <w:r>
        <w:t xml:space="preserve">21.6 ITU-R BT.709-6</w:t>
      </w:r>
    </w:p>
    <w:p>
      <w:pPr>
        <w:pStyle w:val="FirstParagraph"/>
      </w:pPr>
      <w:r>
        <w:rPr>
          <w:b/>
          <w:bCs/>
        </w:rPr>
        <w:t xml:space="preserve">Reference:</w:t>
      </w:r>
      <w:r>
        <w:t xml:space="preserve"> </w:t>
      </w:r>
      <w:r>
        <w:t xml:space="preserve">International Telecommunication Union. (2015).</w:t>
      </w:r>
      <w:r>
        <w:t xml:space="preserve"> </w:t>
      </w:r>
      <w:r>
        <w:rPr>
          <w:i/>
          <w:iCs/>
        </w:rPr>
        <w:t xml:space="preserve">Recommendation ITU-R BT.709-6: Parameter values for the HDTV standards for production and international programme exchange</w:t>
      </w:r>
      <w:r>
        <w:t xml:space="preserve">. https://www.itu.int/rec/R-REC-BT.709-6-201506-I/en</w:t>
      </w:r>
    </w:p>
    <w:p>
      <w:pPr>
        <w:pStyle w:val="BodyText"/>
      </w:pPr>
      <w:r>
        <w:rPr>
          <w:b/>
          <w:bCs/>
        </w:rPr>
        <w:t xml:space="preserve">Type:</w:t>
      </w:r>
      <w:r>
        <w:t xml:space="preserve"> </w:t>
      </w:r>
      <w:r>
        <w:t xml:space="preserve">International standard/recommendation.</w:t>
      </w:r>
    </w:p>
    <w:p>
      <w:pPr>
        <w:pStyle w:val="BodyText"/>
      </w:pPr>
      <w:r>
        <w:rPr>
          <w:b/>
          <w:bCs/>
        </w:rPr>
        <w:t xml:space="preserve">Supports:</w:t>
      </w:r>
      <w:r>
        <w:t xml:space="preserve"> </w:t>
      </w:r>
      <w:r>
        <w:t xml:space="preserve">the recognised Rec.709 coefficient convention.</w:t>
      </w:r>
    </w:p>
    <w:p>
      <w:pPr>
        <w:pStyle w:val="BodyText"/>
      </w:pPr>
      <w:r>
        <w:rPr>
          <w:b/>
          <w:bCs/>
        </w:rPr>
        <w:t xml:space="preserve">Use:</w:t>
      </w:r>
      <w:r>
        <w:t xml:space="preserve"> </w:t>
      </w:r>
      <w:r>
        <w:t xml:space="preserve">Justify the built-in Rec.709 weighting option.</w:t>
      </w:r>
    </w:p>
    <w:p>
      <w:pPr>
        <w:pStyle w:val="BodyText"/>
      </w:pPr>
      <w:r>
        <w:rPr>
          <w:b/>
          <w:bCs/>
        </w:rPr>
        <w:t xml:space="preserve">Caution:</w:t>
      </w:r>
      <w:r>
        <w:t xml:space="preserve"> </w:t>
      </w:r>
      <w:r>
        <w:t xml:space="preserve">Do not present the coefficients as a complete colour transformation or universal luminance formula for arbitrary EXR colour spaces.</w:t>
      </w:r>
    </w:p>
    <w:bookmarkEnd w:id="96"/>
    <w:bookmarkStart w:id="97" w:name="itu-r-bt.601-7"/>
    <w:p>
      <w:pPr>
        <w:pStyle w:val="Heading2"/>
        <w:keepNext/>
        <w:keepLines/>
      </w:pPr>
      <w:r>
        <w:t xml:space="preserve">21.7 ITU-R BT.601-7</w:t>
      </w:r>
    </w:p>
    <w:p>
      <w:pPr>
        <w:pStyle w:val="FirstParagraph"/>
      </w:pPr>
      <w:r>
        <w:rPr>
          <w:b/>
          <w:bCs/>
        </w:rPr>
        <w:t xml:space="preserve">Reference:</w:t>
      </w:r>
      <w:r>
        <w:t xml:space="preserve"> </w:t>
      </w:r>
      <w:r>
        <w:t xml:space="preserve">International Telecommunication Union. (2011).</w:t>
      </w:r>
      <w:r>
        <w:t xml:space="preserve"> </w:t>
      </w:r>
      <w:r>
        <w:rPr>
          <w:i/>
          <w:iCs/>
        </w:rPr>
        <w:t xml:space="preserve">Recommendation ITU-R BT.601-7: Studio encoding parameters of digital television for standard 4:3 and wide-screen 16:9 aspect ratios</w:t>
      </w:r>
      <w:r>
        <w:t xml:space="preserve">. https://www.itu.int/rec/R-REC-BT.601-7-201103-I/en</w:t>
      </w:r>
    </w:p>
    <w:p>
      <w:pPr>
        <w:pStyle w:val="BodyText"/>
      </w:pPr>
      <w:r>
        <w:rPr>
          <w:b/>
          <w:bCs/>
        </w:rPr>
        <w:t xml:space="preserve">Type:</w:t>
      </w:r>
      <w:r>
        <w:t xml:space="preserve"> </w:t>
      </w:r>
      <w:r>
        <w:t xml:space="preserve">International standard/recommendation.</w:t>
      </w:r>
    </w:p>
    <w:p>
      <w:pPr>
        <w:pStyle w:val="BodyText"/>
      </w:pPr>
      <w:r>
        <w:rPr>
          <w:b/>
          <w:bCs/>
        </w:rPr>
        <w:t xml:space="preserve">Supports:</w:t>
      </w:r>
      <w:r>
        <w:t xml:space="preserve"> </w:t>
      </w:r>
      <w:r>
        <w:t xml:space="preserve">alternative recognised RGB coefficient convention.</w:t>
      </w:r>
    </w:p>
    <w:p>
      <w:pPr>
        <w:pStyle w:val="BodyText"/>
      </w:pPr>
      <w:r>
        <w:rPr>
          <w:b/>
          <w:bCs/>
        </w:rPr>
        <w:t xml:space="preserve">Use:</w:t>
      </w:r>
      <w:r>
        <w:t xml:space="preserve"> </w:t>
      </w:r>
      <w:r>
        <w:t xml:space="preserve">Explain why AOVGuard offers a second built-in weighting model and custom weights.</w:t>
      </w:r>
    </w:p>
    <w:bookmarkEnd w:id="97"/>
    <w:bookmarkStart w:id="98" w:name="aces-acescg-documentation"/>
    <w:p>
      <w:pPr>
        <w:pStyle w:val="Heading2"/>
        <w:keepNext/>
        <w:keepLines/>
      </w:pPr>
      <w:r>
        <w:t xml:space="preserve">21.8 ACES / ACEScg documentation</w:t>
      </w:r>
    </w:p>
    <w:p>
      <w:pPr>
        <w:pStyle w:val="FirstParagraph"/>
      </w:pPr>
      <w:r>
        <w:rPr>
          <w:b/>
          <w:bCs/>
        </w:rPr>
        <w:t xml:space="preserve">Type:</w:t>
      </w:r>
      <w:r>
        <w:t xml:space="preserve"> </w:t>
      </w:r>
      <w:r>
        <w:t xml:space="preserve">Official Academy technical documentation.</w:t>
      </w:r>
      <w:r>
        <w:br/>
      </w:r>
      <w:r>
        <w:rPr>
          <w:b/>
          <w:bCs/>
        </w:rPr>
        <w:t xml:space="preserve">URLs:</w:t>
      </w:r>
      <w:r>
        <w:t xml:space="preserve"> </w:t>
      </w:r>
      <w:r>
        <w:t xml:space="preserve">https://docs.acescentral.com/ and https://docs.acescentral.com/encodings/acescg/</w:t>
      </w:r>
    </w:p>
    <w:p>
      <w:pPr>
        <w:pStyle w:val="BodyText"/>
      </w:pPr>
      <w:r>
        <w:rPr>
          <w:b/>
          <w:bCs/>
        </w:rPr>
        <w:t xml:space="preserve">Supports:</w:t>
      </w:r>
    </w:p>
    <w:p>
      <w:pPr>
        <w:pStyle w:val="Compact"/>
        <w:numPr>
          <w:ilvl w:val="0"/>
          <w:numId w:val="1030"/>
        </w:numPr>
      </w:pPr>
      <w:r>
        <w:t xml:space="preserve">scene-linear/scene-referred production context;</w:t>
      </w:r>
    </w:p>
    <w:p>
      <w:pPr>
        <w:pStyle w:val="Compact"/>
        <w:numPr>
          <w:ilvl w:val="0"/>
          <w:numId w:val="1030"/>
        </w:numPr>
      </w:pPr>
      <w:r>
        <w:t xml:space="preserve">ACEScg use for CGI rendering and compositing;</w:t>
      </w:r>
    </w:p>
    <w:p>
      <w:pPr>
        <w:pStyle w:val="Compact"/>
        <w:numPr>
          <w:ilvl w:val="0"/>
          <w:numId w:val="1030"/>
        </w:numPr>
      </w:pPr>
      <w:r>
        <w:t xml:space="preserve">AP1 primaries;</w:t>
      </w:r>
    </w:p>
    <w:p>
      <w:pPr>
        <w:pStyle w:val="Compact"/>
        <w:numPr>
          <w:ilvl w:val="0"/>
          <w:numId w:val="1030"/>
        </w:numPr>
      </w:pPr>
      <w:r>
        <w:t xml:space="preserve">valid floating-point values above 1 and potentially negative components.</w:t>
      </w:r>
    </w:p>
    <w:p>
      <w:pPr>
        <w:pStyle w:val="FirstParagraph"/>
      </w:pPr>
      <w:r>
        <w:rPr>
          <w:b/>
          <w:bCs/>
        </w:rPr>
        <w:t xml:space="preserve">Use:</w:t>
      </w:r>
      <w:r>
        <w:t xml:space="preserve"> </w:t>
      </w:r>
      <w:r>
        <w:t xml:space="preserve">Critical discussion of negative values and limits of applying fixed Rec.709/601 weights without colour-space conversion.</w:t>
      </w:r>
    </w:p>
    <w:bookmarkEnd w:id="98"/>
    <w:bookmarkStart w:id="99" w:name="opencolorio"/>
    <w:p>
      <w:pPr>
        <w:pStyle w:val="Heading2"/>
        <w:keepNext/>
        <w:keepLines/>
      </w:pPr>
      <w:r>
        <w:t xml:space="preserve">21.9 OpenColorIO</w:t>
      </w:r>
    </w:p>
    <w:p>
      <w:pPr>
        <w:pStyle w:val="FirstParagraph"/>
      </w:pPr>
      <w:r>
        <w:rPr>
          <w:b/>
          <w:bCs/>
        </w:rPr>
        <w:t xml:space="preserve">Type:</w:t>
      </w:r>
      <w:r>
        <w:t xml:space="preserve"> </w:t>
      </w:r>
      <w:r>
        <w:t xml:space="preserve">Official production colour-management documentation.</w:t>
      </w:r>
      <w:r>
        <w:br/>
      </w:r>
      <w:r>
        <w:rPr>
          <w:b/>
          <w:bCs/>
        </w:rPr>
        <w:t xml:space="preserve">URL:</w:t>
      </w:r>
      <w:r>
        <w:t xml:space="preserve"> </w:t>
      </w:r>
      <w:r>
        <w:t xml:space="preserve">https://opencolorio.readthedocs.io/</w:t>
      </w:r>
    </w:p>
    <w:p>
      <w:pPr>
        <w:pStyle w:val="BodyText"/>
      </w:pPr>
      <w:r>
        <w:rPr>
          <w:b/>
          <w:bCs/>
        </w:rPr>
        <w:t xml:space="preserve">Supports:</w:t>
      </w:r>
      <w:r>
        <w:t xml:space="preserve"> </w:t>
      </w:r>
      <w:r>
        <w:t xml:space="preserve">central configuration of colour behaviour across VFX applications.</w:t>
      </w:r>
    </w:p>
    <w:p>
      <w:pPr>
        <w:pStyle w:val="BodyText"/>
      </w:pPr>
      <w:r>
        <w:rPr>
          <w:b/>
          <w:bCs/>
        </w:rPr>
        <w:t xml:space="preserve">Use:</w:t>
      </w:r>
      <w:r>
        <w:t xml:space="preserve"> </w:t>
      </w:r>
      <w:r>
        <w:t xml:space="preserve">Pipeline context and future colour-space-aware analysis.</w:t>
      </w:r>
    </w:p>
    <w:p>
      <w:pPr>
        <w:pStyle w:val="BodyText"/>
      </w:pPr>
      <w:r>
        <w:rPr>
          <w:b/>
          <w:bCs/>
        </w:rPr>
        <w:t xml:space="preserve">Status:</w:t>
      </w:r>
      <w:r>
        <w:t xml:space="preserve"> </w:t>
      </w:r>
      <w:r>
        <w:t xml:space="preserve">Not currently integrated into AOVGuard.</w:t>
      </w:r>
    </w:p>
    <w:bookmarkEnd w:id="99"/>
    <w:bookmarkStart w:id="100" w:name="autodesk-arnold-aov-exr-documentation"/>
    <w:p>
      <w:pPr>
        <w:pStyle w:val="Heading2"/>
        <w:keepNext/>
        <w:keepLines/>
      </w:pPr>
      <w:r>
        <w:t xml:space="preserve">21.10 Autodesk Arnold AOV / EXR documentation</w:t>
      </w:r>
    </w:p>
    <w:p>
      <w:pPr>
        <w:pStyle w:val="FirstParagraph"/>
      </w:pPr>
      <w:r>
        <w:rPr>
          <w:b/>
          <w:bCs/>
        </w:rPr>
        <w:t xml:space="preserve">Type:</w:t>
      </w:r>
      <w:r>
        <w:t xml:space="preserve"> </w:t>
      </w:r>
      <w:r>
        <w:t xml:space="preserve">Official renderer documentation.</w:t>
      </w:r>
      <w:r>
        <w:br/>
      </w:r>
      <w:r>
        <w:rPr>
          <w:b/>
          <w:bCs/>
        </w:rPr>
        <w:t xml:space="preserve">Base URL:</w:t>
      </w:r>
      <w:r>
        <w:t xml:space="preserve"> </w:t>
      </w:r>
      <w:r>
        <w:t xml:space="preserve">https://help.autodesk.com/view/ARNOL/ENU/</w:t>
      </w:r>
    </w:p>
    <w:p>
      <w:pPr>
        <w:pStyle w:val="BodyText"/>
      </w:pPr>
      <w:r>
        <w:rPr>
          <w:b/>
          <w:bCs/>
        </w:rPr>
        <w:t xml:space="preserve">Supports:</w:t>
      </w:r>
      <w:r>
        <w:t xml:space="preserve"> </w:t>
      </w:r>
      <w:r>
        <w:t xml:space="preserve">practical renderer-specific AOV output concepts and EXR/AOV production context.</w:t>
      </w:r>
    </w:p>
    <w:p>
      <w:pPr>
        <w:pStyle w:val="BodyText"/>
      </w:pPr>
      <w:r>
        <w:rPr>
          <w:b/>
          <w:bCs/>
        </w:rPr>
        <w:t xml:space="preserve">Use:</w:t>
      </w:r>
      <w:r>
        <w:t xml:space="preserve"> </w:t>
      </w:r>
      <w:r>
        <w:t xml:space="preserve">Explain the origin of real Maya/Arnold multilayer EXRs used in validation and provide concrete production examples of AOVs.</w:t>
      </w:r>
    </w:p>
    <w:p>
      <w:pPr>
        <w:pStyle w:val="BodyText"/>
      </w:pPr>
      <w:r>
        <w:rPr>
          <w:b/>
          <w:bCs/>
        </w:rPr>
        <w:t xml:space="preserve">Academic role:</w:t>
      </w:r>
      <w:r>
        <w:t xml:space="preserve"> </w:t>
      </w:r>
      <w:r>
        <w:t xml:space="preserve">Technical implementation/industry context, not the principal research literature.</w:t>
      </w:r>
    </w:p>
    <w:bookmarkEnd w:id="100"/>
    <w:bookmarkStart w:id="101" w:name="brinkmann-r.-2008"/>
    <w:p>
      <w:pPr>
        <w:pStyle w:val="Heading2"/>
        <w:keepNext/>
        <w:keepLines/>
      </w:pPr>
      <w:r>
        <w:t xml:space="preserve">21.11 Brinkmann, R. (2008)</w:t>
      </w:r>
    </w:p>
    <w:p>
      <w:pPr>
        <w:pStyle w:val="FirstParagraph"/>
      </w:pPr>
      <w:r>
        <w:rPr>
          <w:b/>
          <w:bCs/>
        </w:rPr>
        <w:t xml:space="preserve">Reference:</w:t>
      </w:r>
      <w:r>
        <w:t xml:space="preserve"> </w:t>
      </w:r>
      <w:r>
        <w:t xml:space="preserve">Brinkmann, R. (2008).</w:t>
      </w:r>
      <w:r>
        <w:t xml:space="preserve"> </w:t>
      </w:r>
      <w:r>
        <w:rPr>
          <w:i/>
          <w:iCs/>
        </w:rPr>
        <w:t xml:space="preserve">The art and science of digital compositing: Techniques for visual effects, animation and motion graphics</w:t>
      </w:r>
      <w:r>
        <w:t xml:space="preserve"> </w:t>
      </w:r>
      <w:r>
        <w:t xml:space="preserve">(2nd ed.). Morgan Kaufmann.</w:t>
      </w:r>
    </w:p>
    <w:p>
      <w:pPr>
        <w:pStyle w:val="BodyText"/>
      </w:pPr>
      <w:r>
        <w:rPr>
          <w:b/>
          <w:bCs/>
        </w:rPr>
        <w:t xml:space="preserve">Type:</w:t>
      </w:r>
      <w:r>
        <w:t xml:space="preserve"> </w:t>
      </w:r>
      <w:r>
        <w:t xml:space="preserve">Established specialist compositing text.</w:t>
      </w:r>
    </w:p>
    <w:p>
      <w:pPr>
        <w:pStyle w:val="BodyText"/>
      </w:pPr>
      <w:r>
        <w:rPr>
          <w:b/>
          <w:bCs/>
        </w:rPr>
        <w:t xml:space="preserve">Supports:</w:t>
      </w:r>
      <w:r>
        <w:t xml:space="preserve"> </w:t>
      </w:r>
      <w:r>
        <w:t xml:space="preserve">compositing workflows, channels, alpha/premultiplication, HDR and image mathematics.</w:t>
      </w:r>
    </w:p>
    <w:p>
      <w:pPr>
        <w:pStyle w:val="BodyText"/>
      </w:pPr>
      <w:r>
        <w:rPr>
          <w:b/>
          <w:bCs/>
        </w:rPr>
        <w:t xml:space="preserve">Use:</w:t>
      </w:r>
      <w:r>
        <w:t xml:space="preserve"> </w:t>
      </w:r>
      <w:r>
        <w:t xml:space="preserve">Downstream context: why technically consistent render passes matter to compositors.</w:t>
      </w:r>
    </w:p>
    <w:bookmarkEnd w:id="101"/>
    <w:bookmarkStart w:id="102" w:name="wright-s.-2024"/>
    <w:p>
      <w:pPr>
        <w:pStyle w:val="Heading2"/>
        <w:keepNext/>
        <w:keepLines/>
      </w:pPr>
      <w:r>
        <w:t xml:space="preserve">21.12 Wright, S. (2024)</w:t>
      </w:r>
    </w:p>
    <w:p>
      <w:pPr>
        <w:pStyle w:val="FirstParagraph"/>
      </w:pPr>
      <w:r>
        <w:rPr>
          <w:b/>
          <w:bCs/>
        </w:rPr>
        <w:t xml:space="preserve">Reference:</w:t>
      </w:r>
      <w:r>
        <w:t xml:space="preserve"> </w:t>
      </w:r>
      <w:r>
        <w:t xml:space="preserve">Wright, S. (2024).</w:t>
      </w:r>
      <w:r>
        <w:t xml:space="preserve"> </w:t>
      </w:r>
      <w:r>
        <w:rPr>
          <w:i/>
          <w:iCs/>
        </w:rPr>
        <w:t xml:space="preserve">Digital compositing for film and video: Production workflows and techniques</w:t>
      </w:r>
      <w:r>
        <w:t xml:space="preserve"> </w:t>
      </w:r>
      <w:r>
        <w:t xml:space="preserve">(5th ed.). Routledge.</w:t>
      </w:r>
    </w:p>
    <w:p>
      <w:pPr>
        <w:pStyle w:val="BodyText"/>
      </w:pPr>
      <w:r>
        <w:rPr>
          <w:b/>
          <w:bCs/>
        </w:rPr>
        <w:t xml:space="preserve">Type:</w:t>
      </w:r>
      <w:r>
        <w:t xml:space="preserve"> </w:t>
      </w:r>
      <w:r>
        <w:t xml:space="preserve">Contemporary professional/technical compositing text.</w:t>
      </w:r>
    </w:p>
    <w:p>
      <w:pPr>
        <w:pStyle w:val="BodyText"/>
      </w:pPr>
      <w:r>
        <w:rPr>
          <w:b/>
          <w:bCs/>
        </w:rPr>
        <w:t xml:space="preserve">Supports:</w:t>
      </w:r>
      <w:r>
        <w:t xml:space="preserve"> </w:t>
      </w:r>
      <w:r>
        <w:t xml:space="preserve">current compositing workflows and production practices.</w:t>
      </w:r>
    </w:p>
    <w:p>
      <w:pPr>
        <w:pStyle w:val="BodyText"/>
      </w:pPr>
      <w:r>
        <w:rPr>
          <w:b/>
          <w:bCs/>
        </w:rPr>
        <w:t xml:space="preserve">Use:</w:t>
      </w:r>
      <w:r>
        <w:t xml:space="preserve"> </w:t>
      </w:r>
      <w:r>
        <w:t xml:space="preserve">Complement Brinkmann with a recent production-oriented source.</w:t>
      </w:r>
    </w:p>
    <w:bookmarkEnd w:id="102"/>
    <w:bookmarkStart w:id="103" w:name="ves-handbook-4th-ed.-2025"/>
    <w:p>
      <w:pPr>
        <w:pStyle w:val="Heading2"/>
        <w:keepNext/>
        <w:keepLines/>
      </w:pPr>
      <w:r>
        <w:t>21.13 VES Handbook (4th ed., 2026)</w:t>
      </w:r>
    </w:p>
    <w:p>
      <w:pPr>
        <w:pStyle w:val="FirstParagraph"/>
      </w:pPr>
      <w:r>
        <w:rPr>
          <w:b/>
          <w:bCs/>
        </w:rPr>
        <w:t>Reference: Okun, J. A., Zwerman, S., &amp; Thurmond O’Neal, S. (Eds.). (2026). The VES handbook of visual effects: Industry standard VFX practices and procedures (4th ed.). Routledge.</w:t>
      </w:r>
      <w:r/>
      <w:r/>
      <w:r/>
      <w:r>
        <w:rPr>
          <w:i/>
          <w:iCs/>
        </w:rPr>
      </w:r>
      <w:r/>
      <w:r/>
    </w:p>
    <w:p>
      <w:pPr>
        <w:pStyle w:val="BodyText"/>
      </w:pPr>
      <w:r>
        <w:rPr>
          <w:b/>
          <w:bCs/>
        </w:rPr>
        <w:t xml:space="preserve">Type:</w:t>
      </w:r>
      <w:r>
        <w:t xml:space="preserve"> </w:t>
      </w:r>
      <w:r>
        <w:t xml:space="preserve">Broad VFX industry reference.</w:t>
      </w:r>
    </w:p>
    <w:p>
      <w:pPr>
        <w:pStyle w:val="BodyText"/>
      </w:pPr>
      <w:r>
        <w:rPr>
          <w:b/>
          <w:bCs/>
        </w:rPr>
        <w:t xml:space="preserve">Supports:</w:t>
      </w:r>
      <w:r>
        <w:t xml:space="preserve"> </w:t>
      </w:r>
      <w:r>
        <w:t xml:space="preserve">production context across VFX departments and contemporary practice.</w:t>
      </w:r>
    </w:p>
    <w:p>
      <w:pPr>
        <w:pStyle w:val="BodyText"/>
      </w:pPr>
      <w:r>
        <w:rPr>
          <w:b/>
          <w:bCs/>
        </w:rPr>
        <w:t xml:space="preserve">Use:</w:t>
      </w:r>
      <w:r>
        <w:t xml:space="preserve"> </w:t>
      </w:r>
      <w:r>
        <w:t xml:space="preserve">Introduction/background, not code-level decisions.</w:t>
      </w:r>
    </w:p>
    <w:bookmarkEnd w:id="103"/>
    <w:bookmarkStart w:id="104" w:name="X469937db9cd0e937038934528083ed29f1775e0"/>
    <w:p>
      <w:pPr>
        <w:pStyle w:val="Heading2"/>
        <w:keepNext/>
        <w:keepLines/>
      </w:pPr>
      <w:r>
        <w:t xml:space="preserve">21.14 Alway, Nagle, &amp; Keech (2018) - DNEG AOV manipulation</w:t>
      </w:r>
    </w:p>
    <w:p>
      <w:pPr>
        <w:pStyle w:val="FirstParagraph"/>
      </w:pPr>
      <w:r>
        <w:rPr>
          <w:b/>
          <w:bCs/>
        </w:rPr>
        <w:t xml:space="preserve">Reference:</w:t>
      </w:r>
      <w:r>
        <w:t xml:space="preserve"> </w:t>
      </w:r>
      <w:r>
        <w:t xml:space="preserve">Alway, C., Nagle, P., &amp; Keech, G. (2018). Just get on with it: A managed approach to AOV manipulation.</w:t>
      </w:r>
      <w:r>
        <w:t xml:space="preserve"> </w:t>
      </w:r>
      <w:r>
        <w:rPr>
          <w:i/>
          <w:iCs/>
        </w:rPr>
        <w:t xml:space="preserve">Proceedings of the 8th Annual Digital Production Symposium</w:t>
      </w:r>
      <w:r>
        <w:t xml:space="preserve">. ACM. https://doi.org/10.1145/3233085.3233091</w:t>
      </w:r>
    </w:p>
    <w:p>
      <w:pPr>
        <w:pStyle w:val="BodyText"/>
      </w:pPr>
      <w:r>
        <w:rPr>
          <w:b/>
          <w:bCs/>
        </w:rPr>
        <w:t xml:space="preserve">Type:</w:t>
      </w:r>
      <w:r>
        <w:t xml:space="preserve"> </w:t>
      </w:r>
      <w:r>
        <w:t xml:space="preserve">Published digital-production research from DNEG.</w:t>
      </w:r>
    </w:p>
    <w:p>
      <w:pPr>
        <w:pStyle w:val="BodyText"/>
      </w:pPr>
      <w:r>
        <w:rPr>
          <w:b/>
          <w:bCs/>
        </w:rPr>
        <w:t xml:space="preserve">Why especially important:</w:t>
      </w:r>
      <w:r>
        <w:t xml:space="preserve"> </w:t>
      </w:r>
      <w:r>
        <w:t xml:space="preserve">This is one of the closest references to AOVGuard’s production problem. It demonstrates that management of many AOV relationships is a genuine compositing complexity.</w:t>
      </w:r>
    </w:p>
    <w:p>
      <w:pPr>
        <w:pStyle w:val="BodyText"/>
      </w:pPr>
      <w:r>
        <w:rPr>
          <w:b/>
          <w:bCs/>
        </w:rPr>
        <w:t xml:space="preserve">Difference:</w:t>
      </w:r>
      <w:r>
        <w:t xml:space="preserve"> </w:t>
      </w:r>
      <w:r>
        <w:t xml:space="preserve">The DNEG work focuses on AOV manipulation/reconstruction in compositing; AOVGuard focuses on inspection/validation/diagnostics.</w:t>
      </w:r>
    </w:p>
    <w:p>
      <w:pPr>
        <w:pStyle w:val="BodyText"/>
      </w:pPr>
      <w:r>
        <w:rPr>
          <w:b/>
          <w:bCs/>
        </w:rPr>
        <w:t xml:space="preserve">Use:</w:t>
      </w:r>
      <w:r>
        <w:t xml:space="preserve"> </w:t>
      </w:r>
      <w:r>
        <w:t xml:space="preserve">Core Related Work and problem motivation.</w:t>
      </w:r>
    </w:p>
    <w:bookmarkEnd w:id="104"/>
    <w:bookmarkStart w:id="105" w:name="Xe133bfe3fa6e3170bd99c79f7476727cf95151c"/>
    <w:p>
      <w:pPr>
        <w:pStyle w:val="Heading2"/>
        <w:keepNext/>
        <w:keepLines/>
      </w:pPr>
      <w:r>
        <w:t xml:space="preserve">21.15 Friedman &amp; Jones (2015) - Cryptomatte precursor</w:t>
      </w:r>
    </w:p>
    <w:p>
      <w:pPr>
        <w:pStyle w:val="FirstParagraph"/>
      </w:pPr>
      <w:r>
        <w:rPr>
          <w:b/>
          <w:bCs/>
        </w:rPr>
        <w:t xml:space="preserve">Reference:</w:t>
      </w:r>
      <w:r>
        <w:t xml:space="preserve"> </w:t>
      </w:r>
      <w:r>
        <w:t xml:space="preserve">Friedman, J., &amp; Jones, A. C. (2015). Fully automatic ID mattes with support for motion blur and transparency.</w:t>
      </w:r>
      <w:r>
        <w:t xml:space="preserve"> </w:t>
      </w:r>
      <w:r>
        <w:rPr>
          <w:i/>
          <w:iCs/>
        </w:rPr>
        <w:t xml:space="preserve">ACM SIGGRAPH 2015 Posters</w:t>
      </w:r>
      <w:r>
        <w:t xml:space="preserve">. ACM. https://doi.org/10.1145/2787626.2787629</w:t>
      </w:r>
    </w:p>
    <w:p>
      <w:pPr>
        <w:pStyle w:val="BodyText"/>
      </w:pPr>
      <w:r>
        <w:rPr>
          <w:b/>
          <w:bCs/>
        </w:rPr>
        <w:t xml:space="preserve">Type:</w:t>
      </w:r>
      <w:r>
        <w:t xml:space="preserve"> </w:t>
      </w:r>
      <w:r>
        <w:t xml:space="preserve">Published graphics/VFX research.</w:t>
      </w:r>
    </w:p>
    <w:p>
      <w:pPr>
        <w:pStyle w:val="BodyText"/>
      </w:pPr>
      <w:r>
        <w:rPr>
          <w:b/>
          <w:bCs/>
        </w:rPr>
        <w:t xml:space="preserve">Supports:</w:t>
      </w:r>
      <w:r>
        <w:t xml:space="preserve"> </w:t>
      </w:r>
      <w:r>
        <w:t xml:space="preserve">modern render outputs can contain structured auxiliary information intended for downstream compositing.</w:t>
      </w:r>
    </w:p>
    <w:p>
      <w:pPr>
        <w:pStyle w:val="BodyText"/>
      </w:pPr>
      <w:r>
        <w:rPr>
          <w:b/>
          <w:bCs/>
        </w:rPr>
        <w:t xml:space="preserve">Use:</w:t>
      </w:r>
      <w:r>
        <w:t xml:space="preserve"> </w:t>
      </w:r>
      <w:r>
        <w:t xml:space="preserve">Demonstrate semantic richness beyond RGB.</w:t>
      </w:r>
    </w:p>
    <w:p>
      <w:pPr>
        <w:pStyle w:val="BodyText"/>
      </w:pPr>
      <w:r>
        <w:rPr>
          <w:b/>
          <w:bCs/>
        </w:rPr>
        <w:t xml:space="preserve">Not a direct competitor:</w:t>
      </w:r>
      <w:r>
        <w:t xml:space="preserve"> </w:t>
      </w:r>
      <w:r>
        <w:t xml:space="preserve">It solves ID-matte generation, not AOV validation.</w:t>
      </w:r>
    </w:p>
    <w:bookmarkEnd w:id="105"/>
    <w:bookmarkStart w:id="106" w:name="X64ef40bad24e2d52debced610ade71ad8b55585"/>
    <w:p>
      <w:pPr>
        <w:pStyle w:val="Heading2"/>
        <w:keepNext/>
        <w:keepLines/>
      </w:pPr>
      <w:r>
        <w:t xml:space="preserve">21.16 Hillman (2018) - OpenEXR object ID manifests</w:t>
      </w:r>
    </w:p>
    <w:p>
      <w:pPr>
        <w:pStyle w:val="FirstParagraph"/>
      </w:pPr>
      <w:r>
        <w:rPr>
          <w:b/>
          <w:bCs/>
        </w:rPr>
        <w:t xml:space="preserve">Reference:</w:t>
      </w:r>
      <w:r>
        <w:t xml:space="preserve"> </w:t>
      </w:r>
      <w:r>
        <w:t xml:space="preserve">Hillman, P. (2018). A scheme for storing object ID manifests in OpenEXR images.</w:t>
      </w:r>
      <w:r>
        <w:t xml:space="preserve"> </w:t>
      </w:r>
      <w:r>
        <w:rPr>
          <w:i/>
          <w:iCs/>
        </w:rPr>
        <w:t xml:space="preserve">Proceedings of the 2018 Digital Production Symposium</w:t>
      </w:r>
      <w:r>
        <w:t xml:space="preserve">, 1-8. ACM. https://doi.org/10.1145/3233085.3233086</w:t>
      </w:r>
    </w:p>
    <w:p>
      <w:pPr>
        <w:pStyle w:val="BodyText"/>
      </w:pPr>
      <w:r>
        <w:rPr>
          <w:b/>
          <w:bCs/>
        </w:rPr>
        <w:t xml:space="preserve">Supports:</w:t>
      </w:r>
      <w:r>
        <w:t xml:space="preserve"> </w:t>
      </w:r>
      <w:r>
        <w:t xml:space="preserve">OpenEXR as an extensible production container for structured auxiliary data.</w:t>
      </w:r>
    </w:p>
    <w:p>
      <w:pPr>
        <w:pStyle w:val="BodyText"/>
      </w:pPr>
      <w:r>
        <w:rPr>
          <w:b/>
          <w:bCs/>
        </w:rPr>
        <w:t xml:space="preserve">Use:</w:t>
      </w:r>
      <w:r>
        <w:t xml:space="preserve"> </w:t>
      </w:r>
      <w:r>
        <w:t xml:space="preserve">File-format/AOV context.</w:t>
      </w:r>
    </w:p>
    <w:bookmarkEnd w:id="106"/>
    <w:bookmarkStart w:id="107" w:name="openimageio-documentation"/>
    <w:p>
      <w:pPr>
        <w:pStyle w:val="Heading2"/>
        <w:keepNext/>
        <w:keepLines/>
      </w:pPr>
      <w:r>
        <w:t xml:space="preserve">21.17 OpenImageIO documentation</w:t>
      </w:r>
    </w:p>
    <w:p>
      <w:pPr>
        <w:pStyle w:val="FirstParagraph"/>
      </w:pPr>
      <w:r>
        <w:rPr>
          <w:b/>
          <w:bCs/>
        </w:rPr>
        <w:t xml:space="preserve">Type:</w:t>
      </w:r>
      <w:r>
        <w:t xml:space="preserve"> </w:t>
      </w:r>
      <w:r>
        <w:t xml:space="preserve">Official primary technical documentation.</w:t>
      </w:r>
      <w:r>
        <w:br/>
      </w:r>
      <w:r>
        <w:rPr>
          <w:b/>
          <w:bCs/>
        </w:rPr>
        <w:t xml:space="preserve">URL:</w:t>
      </w:r>
      <w:r>
        <w:t xml:space="preserve"> </w:t>
      </w:r>
      <w:r>
        <w:t xml:space="preserve">https://openimageio.readthedocs.io/</w:t>
      </w:r>
    </w:p>
    <w:p>
      <w:pPr>
        <w:pStyle w:val="BodyText"/>
      </w:pPr>
      <w:r>
        <w:rPr>
          <w:b/>
          <w:bCs/>
        </w:rPr>
        <w:t xml:space="preserve">Supports:</w:t>
      </w:r>
      <w:r>
        <w:t xml:space="preserve"> </w:t>
      </w:r>
      <w:r>
        <w:t xml:space="preserve">mature format-agnostic professional image I/O and processing designed for VFX/animation workflows.</w:t>
      </w:r>
    </w:p>
    <w:p>
      <w:pPr>
        <w:pStyle w:val="BodyText"/>
      </w:pPr>
      <w:r>
        <w:rPr>
          <w:b/>
          <w:bCs/>
        </w:rPr>
        <w:t xml:space="preserve">Use:</w:t>
      </w:r>
      <w:r>
        <w:t xml:space="preserve"> </w:t>
      </w:r>
      <w:r>
        <w:t xml:space="preserve">Primary technical comparator for AOVGuard.</w:t>
      </w:r>
    </w:p>
    <w:p>
      <w:pPr>
        <w:pStyle w:val="BodyText"/>
      </w:pPr>
      <w:r>
        <w:rPr>
          <w:b/>
          <w:bCs/>
        </w:rPr>
        <w:t xml:space="preserve">Important positioning:</w:t>
      </w:r>
      <w:r>
        <w:t xml:space="preserve"> </w:t>
      </w:r>
      <w:r>
        <w:t xml:space="preserve">OpenImageIO already provides sophisticated image inspection and statistics. AOVGuard’s defensible distinction is its specialised AOV/sequence validation workflow, not invention of image statistics.</w:t>
      </w:r>
    </w:p>
    <w:bookmarkEnd w:id="107"/>
    <w:bookmarkStart w:id="108" w:name="oiiotool"/>
    <w:p>
      <w:pPr>
        <w:pStyle w:val="Heading2"/>
        <w:keepNext/>
        <w:keepLines/>
      </w:pPr>
      <w:r>
        <w:t xml:space="preserve">21.18</w:t>
      </w:r>
      <w:r>
        <w:t xml:space="preserve"> </w:t>
      </w:r>
      <w:r>
        <w:rPr>
          <w:rStyle w:val="VerbatimChar"/>
        </w:rPr>
        <w:t xml:space="preserve">oiiotool</w:t>
      </w:r>
    </w:p>
    <w:p>
      <w:pPr>
        <w:pStyle w:val="FirstParagraph"/>
      </w:pPr>
      <w:r>
        <w:rPr>
          <w:b/>
          <w:bCs/>
        </w:rPr>
        <w:t xml:space="preserve">URL:</w:t>
      </w:r>
      <w:r>
        <w:t xml:space="preserve"> </w:t>
      </w:r>
      <w:r>
        <w:t xml:space="preserve">https://openimageio.readthedocs.io/en/latest/oiiotool.html</w:t>
      </w:r>
    </w:p>
    <w:p>
      <w:pPr>
        <w:pStyle w:val="BodyText"/>
      </w:pPr>
      <w:r>
        <w:rPr>
          <w:b/>
          <w:bCs/>
        </w:rPr>
        <w:t xml:space="preserve">Supports:</w:t>
      </w:r>
      <w:r>
        <w:t xml:space="preserve"> </w:t>
      </w:r>
      <w:r>
        <w:t xml:space="preserve">metadata inspection, per-channel statistics, non-finite detection, constant image information and many image operations.</w:t>
      </w:r>
    </w:p>
    <w:p>
      <w:pPr>
        <w:pStyle w:val="BodyText"/>
      </w:pPr>
      <w:r>
        <w:rPr>
          <w:b/>
          <w:bCs/>
        </w:rPr>
        <w:t xml:space="preserve">Use:</w:t>
      </w:r>
      <w:r>
        <w:t xml:space="preserve"> </w:t>
      </w:r>
      <w:r>
        <w:t xml:space="preserve">Related-tool comparison.</w:t>
      </w:r>
    </w:p>
    <w:p>
      <w:pPr>
        <w:pStyle w:val="BodyText"/>
      </w:pPr>
      <w:r>
        <w:rPr>
          <w:b/>
          <w:bCs/>
        </w:rPr>
        <w:t xml:space="preserve">Implication:</w:t>
      </w:r>
      <w:r>
        <w:t xml:space="preserve"> </w:t>
      </w:r>
      <w:r>
        <w:t xml:space="preserve">AOVGuard should not claim novelty for min/max/average/statistical inspection.</w:t>
      </w:r>
    </w:p>
    <w:bookmarkEnd w:id="108"/>
    <w:bookmarkStart w:id="109" w:name="idiff"/>
    <w:p>
      <w:pPr>
        <w:pStyle w:val="Heading2"/>
        <w:keepNext/>
        <w:keepLines/>
      </w:pPr>
      <w:r>
        <w:t xml:space="preserve">21.19</w:t>
      </w:r>
      <w:r>
        <w:t xml:space="preserve"> </w:t>
      </w:r>
      <w:r>
        <w:rPr>
          <w:rStyle w:val="VerbatimChar"/>
        </w:rPr>
        <w:t xml:space="preserve">idiff</w:t>
      </w:r>
    </w:p>
    <w:p>
      <w:pPr>
        <w:pStyle w:val="FirstParagraph"/>
      </w:pPr>
      <w:r>
        <w:rPr>
          <w:b/>
          <w:bCs/>
        </w:rPr>
        <w:t xml:space="preserve">URL:</w:t>
      </w:r>
      <w:r>
        <w:t xml:space="preserve"> </w:t>
      </w:r>
      <w:r>
        <w:t xml:space="preserve">https://openimageio.readthedocs.io/en/latest/idiff.html</w:t>
      </w:r>
    </w:p>
    <w:p>
      <w:pPr>
        <w:pStyle w:val="BodyText"/>
      </w:pPr>
      <w:r>
        <w:rPr>
          <w:b/>
          <w:bCs/>
        </w:rPr>
        <w:t xml:space="preserve">Supports:</w:t>
      </w:r>
      <w:r>
        <w:t xml:space="preserve"> </w:t>
      </w:r>
      <w:r>
        <w:t xml:space="preserve">threshold-based image comparison.</w:t>
      </w:r>
    </w:p>
    <w:p>
      <w:pPr>
        <w:pStyle w:val="BodyText"/>
      </w:pPr>
      <w:r>
        <w:rPr>
          <w:b/>
          <w:bCs/>
        </w:rPr>
        <w:t xml:space="preserve">Use:</w:t>
      </w:r>
      <w:r>
        <w:t xml:space="preserve"> </w:t>
      </w:r>
      <w:r>
        <w:t xml:space="preserve">Broader image validation/comparison context.</w:t>
      </w:r>
    </w:p>
    <w:bookmarkEnd w:id="109"/>
    <w:bookmarkStart w:id="110" w:name="openimageio-imagecache"/>
    <w:p>
      <w:pPr>
        <w:pStyle w:val="Heading2"/>
        <w:keepNext/>
        <w:keepLines/>
      </w:pPr>
      <w:r>
        <w:t xml:space="preserve">21.20 OpenImageIO ImageCache</w:t>
      </w:r>
    </w:p>
    <w:p>
      <w:pPr>
        <w:pStyle w:val="FirstParagraph"/>
      </w:pPr>
      <w:r>
        <w:rPr>
          <w:b/>
          <w:bCs/>
        </w:rPr>
        <w:t xml:space="preserve">URL:</w:t>
      </w:r>
      <w:r>
        <w:t xml:space="preserve"> </w:t>
      </w:r>
      <w:r>
        <w:t xml:space="preserve">https://openimageio.readthedocs.io/en/latest/imagecache.html</w:t>
      </w:r>
    </w:p>
    <w:p>
      <w:pPr>
        <w:pStyle w:val="BodyText"/>
      </w:pPr>
      <w:r>
        <w:rPr>
          <w:b/>
          <w:bCs/>
        </w:rPr>
        <w:t xml:space="preserve">Supports:</w:t>
      </w:r>
      <w:r>
        <w:t xml:space="preserve"> </w:t>
      </w:r>
      <w:r>
        <w:t xml:space="preserve">scalable image caching/access strategies.</w:t>
      </w:r>
    </w:p>
    <w:p>
      <w:pPr>
        <w:pStyle w:val="BodyText"/>
      </w:pPr>
      <w:r>
        <w:rPr>
          <w:b/>
          <w:bCs/>
        </w:rPr>
        <w:t xml:space="preserve">Use:</w:t>
      </w:r>
      <w:r>
        <w:t xml:space="preserve"> </w:t>
      </w:r>
      <w:r>
        <w:t xml:space="preserve">Related technology or future architecture discussion.</w:t>
      </w:r>
    </w:p>
    <w:p>
      <w:pPr>
        <w:pStyle w:val="BodyText"/>
      </w:pPr>
      <w:r>
        <w:rPr>
          <w:b/>
          <w:bCs/>
        </w:rPr>
        <w:t xml:space="preserve">Status:</w:t>
      </w:r>
      <w:r>
        <w:t xml:space="preserve"> </w:t>
      </w:r>
      <w:r>
        <w:t xml:space="preserve">Not implemented in AOVGuard.</w:t>
      </w:r>
    </w:p>
    <w:bookmarkEnd w:id="110"/>
    <w:bookmarkStart w:id="111" w:name="openexr-command-line-tools"/>
    <w:p>
      <w:pPr>
        <w:pStyle w:val="Heading2"/>
        <w:keepNext/>
        <w:keepLines/>
      </w:pPr>
      <w:r>
        <w:t xml:space="preserve">21.21 OpenEXR command-line tools</w:t>
      </w:r>
    </w:p>
    <w:p>
      <w:pPr>
        <w:pStyle w:val="FirstParagraph"/>
      </w:pPr>
      <w:r>
        <w:rPr>
          <w:b/>
          <w:bCs/>
        </w:rPr>
        <w:t xml:space="preserve">URL:</w:t>
      </w:r>
      <w:r>
        <w:t xml:space="preserve"> </w:t>
      </w:r>
      <w:r>
        <w:t xml:space="preserve">https://openexr.com/en/latest/tools.html</w:t>
      </w:r>
    </w:p>
    <w:p>
      <w:pPr>
        <w:pStyle w:val="BodyText"/>
      </w:pPr>
      <w:r>
        <w:t xml:space="preserve">Relevant examples include</w:t>
      </w:r>
      <w:r>
        <w:t xml:space="preserve"> </w:t>
      </w:r>
      <w:r>
        <w:rPr>
          <w:rStyle w:val="VerbatimChar"/>
        </w:rPr>
        <w:t xml:space="preserve">exrcheck</w:t>
      </w:r>
      <w:r>
        <w:t xml:space="preserve">,</w:t>
      </w:r>
      <w:r>
        <w:t xml:space="preserve"> </w:t>
      </w:r>
      <w:r>
        <w:rPr>
          <w:rStyle w:val="VerbatimChar"/>
        </w:rPr>
        <w:t xml:space="preserve">exrheader</w:t>
      </w:r>
      <w:r>
        <w:t xml:space="preserve">,</w:t>
      </w:r>
      <w:r>
        <w:t xml:space="preserve"> </w:t>
      </w:r>
      <w:r>
        <w:rPr>
          <w:rStyle w:val="VerbatimChar"/>
        </w:rPr>
        <w:t xml:space="preserve">exrinfo</w:t>
      </w:r>
      <w:r>
        <w:t xml:space="preserve"> </w:t>
      </w:r>
      <w:r>
        <w:t xml:space="preserve">and</w:t>
      </w:r>
      <w:r>
        <w:t xml:space="preserve"> </w:t>
      </w:r>
      <w:r>
        <w:rPr>
          <w:rStyle w:val="VerbatimChar"/>
        </w:rPr>
        <w:t xml:space="preserve">exrmetrics</w:t>
      </w:r>
      <w:r>
        <w:t xml:space="preserve">.</w:t>
      </w:r>
    </w:p>
    <w:p>
      <w:pPr>
        <w:pStyle w:val="BodyText"/>
      </w:pPr>
      <w:r>
        <w:rPr>
          <w:b/>
          <w:bCs/>
        </w:rPr>
        <w:t xml:space="preserve">Use:</w:t>
      </w:r>
      <w:r>
        <w:t xml:space="preserve"> </w:t>
      </w:r>
      <w:r>
        <w:t xml:space="preserve">Demonstrate existing low-level EXR inspection, validation and metrics tooling.</w:t>
      </w:r>
    </w:p>
    <w:p>
      <w:pPr>
        <w:pStyle w:val="BodyText"/>
      </w:pPr>
      <w:r>
        <w:rPr>
          <w:b/>
          <w:bCs/>
        </w:rPr>
        <w:t xml:space="preserve">Research positioning:</w:t>
      </w:r>
      <w:r>
        <w:t xml:space="preserve"> </w:t>
      </w:r>
      <w:r>
        <w:t xml:space="preserve">AOVGuard must not be described as the first EXR inspector/validator. It is a higher-level AOV-aware validation prototype.</w:t>
      </w:r>
    </w:p>
    <w:bookmarkEnd w:id="111"/>
    <w:bookmarkStart w:id="112" w:name="X2cfe54239f10b9255175f8b62132f8c11fe46c7"/>
    <w:p>
      <w:pPr>
        <w:pStyle w:val="Heading2"/>
        <w:keepNext/>
        <w:keepLines/>
      </w:pPr>
      <w:r>
        <w:t xml:space="preserve">21.22 Cohen Bengio, Ogino, &amp; Robson (2018) - ILM quality control</w:t>
      </w:r>
    </w:p>
    <w:p>
      <w:pPr>
        <w:pStyle w:val="FirstParagraph"/>
      </w:pPr>
      <w:r>
        <w:rPr>
          <w:b/>
          <w:bCs/>
        </w:rPr>
        <w:t xml:space="preserve">Reference:</w:t>
      </w:r>
      <w:r>
        <w:t xml:space="preserve"> </w:t>
      </w:r>
      <w:r>
        <w:t xml:space="preserve">Cohen Bengio, J. F., Ogino, K., &amp; Robson, B. (2018). A holistic approach to asset quality and efficiency.</w:t>
      </w:r>
      <w:r>
        <w:t xml:space="preserve"> </w:t>
      </w:r>
      <w:r>
        <w:rPr>
          <w:i/>
          <w:iCs/>
        </w:rPr>
        <w:t xml:space="preserve">ACM SIGGRAPH 2018 Talks</w:t>
      </w:r>
      <w:r>
        <w:t xml:space="preserve">. ACM. https://doi.org/10.1145/3214745.3214791</w:t>
      </w:r>
    </w:p>
    <w:p>
      <w:pPr>
        <w:pStyle w:val="BodyText"/>
      </w:pPr>
      <w:r>
        <w:rPr>
          <w:b/>
          <w:bCs/>
        </w:rPr>
        <w:t xml:space="preserve">Type:</w:t>
      </w:r>
      <w:r>
        <w:t xml:space="preserve"> </w:t>
      </w:r>
      <w:r>
        <w:t xml:space="preserve">Published production research from Industrial Light &amp; Magic.</w:t>
      </w:r>
    </w:p>
    <w:p>
      <w:pPr>
        <w:pStyle w:val="BodyText"/>
      </w:pPr>
      <w:r>
        <w:rPr>
          <w:b/>
          <w:bCs/>
        </w:rPr>
        <w:t xml:space="preserve">Supports:</w:t>
      </w:r>
      <w:r>
        <w:t xml:space="preserve"> </w:t>
      </w:r>
      <w:r>
        <w:t xml:space="preserve">automated sanity checking and quality-control concepts in a high-end VFX production context.</w:t>
      </w:r>
    </w:p>
    <w:p>
      <w:pPr>
        <w:pStyle w:val="BodyText"/>
      </w:pPr>
      <w:r>
        <w:rPr>
          <w:b/>
          <w:bCs/>
        </w:rPr>
        <w:t xml:space="preserve">Use:</w:t>
      </w:r>
      <w:r>
        <w:t xml:space="preserve"> </w:t>
      </w:r>
      <w:r>
        <w:t xml:space="preserve">Strong conceptual precedent for technical validation before downstream problems.</w:t>
      </w:r>
    </w:p>
    <w:p>
      <w:pPr>
        <w:pStyle w:val="BodyText"/>
      </w:pPr>
      <w:r>
        <w:rPr>
          <w:b/>
          <w:bCs/>
        </w:rPr>
        <w:t xml:space="preserve">Difference:</w:t>
      </w:r>
      <w:r>
        <w:t xml:space="preserve"> </w:t>
      </w:r>
      <w:r>
        <w:t xml:space="preserve">Asset quality rather than rendered AOV validation.</w:t>
      </w:r>
    </w:p>
    <w:bookmarkEnd w:id="112"/>
    <w:bookmarkStart w:id="113" w:name="X355e87ef90ed2f7d8b4df0226de9044cb65de28"/>
    <w:p>
      <w:pPr>
        <w:pStyle w:val="Heading2"/>
        <w:keepNext/>
        <w:keepLines/>
      </w:pPr>
      <w:r>
        <w:t>21.23 Murphy, Kurtz, &amp; Kilshaw (2025) - DNEG integrated QC</w:t>
      </w:r>
    </w:p>
    <w:p>
      <w:pPr>
        <w:pStyle w:val="FirstParagraph"/>
      </w:pPr>
      <w:r>
        <w:rPr>
          <w:b/>
          <w:bCs/>
        </w:rPr>
        <w:t>Reference: Murphy, E., Kurtz, M., &amp; Kilshaw, C. (2025). Integrated quality control: Improving production efficiency to achieve scale at DNEG Animation. Proceedings of the Digital Production Symposium. ACM. https://doi.org/10.1145/3744199.3744629</w:t>
      </w:r>
      <w:r/>
      <w:r/>
      <w:r/>
      <w:r>
        <w:rPr>
          <w:i/>
          <w:iCs/>
        </w:rPr>
      </w:r>
      <w:r/>
    </w:p>
    <w:p>
      <w:pPr>
        <w:pStyle w:val="BodyText"/>
      </w:pPr>
      <w:r>
        <w:rPr>
          <w:b/>
          <w:bCs/>
        </w:rPr>
        <w:t xml:space="preserve">Type:</w:t>
      </w:r>
      <w:r>
        <w:t xml:space="preserve"> </w:t>
      </w:r>
      <w:r>
        <w:t xml:space="preserve">Recent production research.</w:t>
      </w:r>
    </w:p>
    <w:p>
      <w:pPr>
        <w:pStyle w:val="BodyText"/>
      </w:pPr>
      <w:r>
        <w:rPr>
          <w:b/>
          <w:bCs/>
        </w:rPr>
        <w:t xml:space="preserve">Supports:</w:t>
      </w:r>
      <w:r>
        <w:t xml:space="preserve"> </w:t>
      </w:r>
      <w:r>
        <w:t xml:space="preserve">integrated QC remains a contemporary production technology concern.</w:t>
      </w:r>
    </w:p>
    <w:p>
      <w:pPr>
        <w:pStyle w:val="BodyText"/>
      </w:pPr>
      <w:r>
        <w:rPr>
          <w:b/>
          <w:bCs/>
        </w:rPr>
        <w:t xml:space="preserve">Use:</w:t>
      </w:r>
      <w:r>
        <w:t xml:space="preserve"> </w:t>
      </w:r>
      <w:r>
        <w:t xml:space="preserve">Position AOVGuard within automated production validation without implying equal scale or scope.</w:t>
      </w:r>
    </w:p>
    <w:bookmarkEnd w:id="113"/>
    <w:bookmarkStart w:id="114" w:name="X8c476df41b43ce683b32a77eaffcc0ad1b6934b"/>
    <w:p>
      <w:pPr>
        <w:pStyle w:val="Heading2"/>
        <w:keepNext/>
        <w:keepLines/>
      </w:pPr>
      <w:r>
        <w:t xml:space="preserve">21.24 Pearsall et al. (2026) - structured QC architecture</w:t>
      </w:r>
    </w:p>
    <w:p>
      <w:pPr>
        <w:pStyle w:val="FirstParagraph"/>
      </w:pPr>
      <w:r>
        <w:rPr>
          <w:b/>
          <w:bCs/>
        </w:rPr>
        <w:t>Reference: Pearsall, C., Hardie, A., Sakr, M., &amp; Bigda, J. (2026, July 18). Automating the handoff: From hardcoded QC scripts to a multi-agent architecture for layout-to-animation reviews [Conference talk]. Digital Production Symposium. https://digiproconf.org/program/</w:t>
      </w:r>
      <w:r/>
      <w:r/>
      <w:r/>
      <w:r>
        <w:rPr>
          <w:i/>
          <w:iCs/>
        </w:rPr>
      </w:r>
      <w:r/>
    </w:p>
    <w:p>
      <w:pPr>
        <w:pStyle w:val="BodyText"/>
      </w:pPr>
      <w:r>
        <w:rPr>
          <w:b/>
          <w:bCs/>
        </w:rPr>
        <w:t>Type: Very recent production conference talk (2026); the official programme does not list it as a technical paper.</w:t>
      </w:r>
      <w:r/>
      <w:r/>
    </w:p>
    <w:p>
      <w:pPr>
        <w:pStyle w:val="BodyText"/>
      </w:pPr>
      <w:r>
        <w:rPr>
          <w:b/>
          <w:bCs/>
        </w:rPr>
        <w:t xml:space="preserve">Supports:</w:t>
      </w:r>
      <w:r>
        <w:t xml:space="preserve"> </w:t>
      </w:r>
      <w:r>
        <w:t xml:space="preserve">movement from isolated hardcoded checks towards more structured QC architecture.</w:t>
      </w:r>
    </w:p>
    <w:p>
      <w:pPr>
        <w:pStyle w:val="BodyText"/>
      </w:pPr>
      <w:r>
        <w:rPr>
          <w:b/>
          <w:bCs/>
        </w:rPr>
        <w:t xml:space="preserve">Use:</w:t>
      </w:r>
      <w:r>
        <w:t xml:space="preserve"> </w:t>
      </w:r>
      <w:r>
        <w:t xml:space="preserve">Contemporary Related Work for configurable/structured validation.</w:t>
      </w:r>
    </w:p>
    <w:p>
      <w:pPr>
        <w:pStyle w:val="BodyText"/>
      </w:pPr>
      <w:r>
        <w:rPr>
          <w:b/>
          <w:bCs/>
        </w:rPr>
        <w:t xml:space="preserve">Important caution:</w:t>
      </w:r>
      <w:r>
        <w:t xml:space="preserve"> </w:t>
      </w:r>
      <w:r>
        <w:t xml:space="preserve">Do not claim that this paper inspired AOVGuard if it was discovered after implementation. Use it as related contemporary evidence.</w:t>
      </w:r>
    </w:p>
    <w:bookmarkEnd w:id="114"/>
    <w:bookmarkStart w:id="115" w:name="pyblish"/>
    <w:p>
      <w:pPr>
        <w:pStyle w:val="Heading2"/>
        <w:keepNext/>
        <w:keepLines/>
      </w:pPr>
      <w:r>
        <w:t xml:space="preserve">21.25 Pyblish</w:t>
      </w:r>
    </w:p>
    <w:p>
      <w:pPr>
        <w:pStyle w:val="FirstParagraph"/>
      </w:pPr>
      <w:r>
        <w:rPr>
          <w:b/>
          <w:bCs/>
        </w:rPr>
        <w:t xml:space="preserve">Type:</w:t>
      </w:r>
      <w:r>
        <w:t xml:space="preserve"> </w:t>
      </w:r>
      <w:r>
        <w:t xml:space="preserve">Open-source production validation/publishing framework.</w:t>
      </w:r>
      <w:r>
        <w:br/>
      </w:r>
      <w:r>
        <w:rPr>
          <w:b/>
          <w:bCs/>
        </w:rPr>
        <w:t xml:space="preserve">URLs:</w:t>
      </w:r>
      <w:r>
        <w:t xml:space="preserve"> </w:t>
      </w:r>
      <w:r>
        <w:t xml:space="preserve">https://pyblish.com/ and https://learn.pyblish.com/</w:t>
      </w:r>
    </w:p>
    <w:p>
      <w:pPr>
        <w:pStyle w:val="BodyText"/>
      </w:pPr>
      <w:r>
        <w:rPr>
          <w:b/>
          <w:bCs/>
        </w:rPr>
        <w:t xml:space="preserve">Supports:</w:t>
      </w:r>
      <w:r>
        <w:t xml:space="preserve"> </w:t>
      </w:r>
      <w:r>
        <w:t xml:space="preserve">test-driven content creation, validators and publishing workflows in film/games.</w:t>
      </w:r>
    </w:p>
    <w:p>
      <w:pPr>
        <w:pStyle w:val="BodyText"/>
      </w:pPr>
      <w:r>
        <w:rPr>
          <w:b/>
          <w:bCs/>
        </w:rPr>
        <w:t xml:space="preserve">Use:</w:t>
      </w:r>
      <w:r>
        <w:t xml:space="preserve"> </w:t>
      </w:r>
      <w:r>
        <w:t xml:space="preserve">Very useful conceptual comparator for validation frameworks in VFX pipelines.</w:t>
      </w:r>
    </w:p>
    <w:p>
      <w:pPr>
        <w:pStyle w:val="BodyText"/>
      </w:pPr>
      <w:r>
        <w:rPr>
          <w:b/>
          <w:bCs/>
        </w:rPr>
        <w:t xml:space="preserve">Difference:</w:t>
      </w:r>
      <w:r>
        <w:t xml:space="preserve"> </w:t>
      </w:r>
      <w:r>
        <w:t xml:space="preserve">General content publishing/validation framework rather than EXR/AOV-specific analysis.</w:t>
      </w:r>
    </w:p>
    <w:bookmarkEnd w:id="115"/>
    <w:bookmarkStart w:id="116" w:name="gaffer---haddon-et-al.-2016"/>
    <w:p>
      <w:pPr>
        <w:pStyle w:val="Heading2"/>
        <w:keepNext/>
        <w:keepLines/>
      </w:pPr>
      <w:r>
        <w:t xml:space="preserve">21.26 Gaffer - Haddon et al. (2016)</w:t>
      </w:r>
    </w:p>
    <w:p>
      <w:pPr>
        <w:pStyle w:val="FirstParagraph"/>
      </w:pPr>
      <w:r>
        <w:rPr>
          <w:b/>
          <w:bCs/>
        </w:rPr>
        <w:t xml:space="preserve">Reference:</w:t>
      </w:r>
      <w:r>
        <w:t xml:space="preserve"> </w:t>
      </w:r>
      <w:r>
        <w:t xml:space="preserve">Haddon, J., Kaufman, A., Minor, D., Dresser, D., Imanishi, I., &amp; Nogueira, P. (2016). Gaffer: An open-source application framework for VFX.</w:t>
      </w:r>
      <w:r>
        <w:t xml:space="preserve"> </w:t>
      </w:r>
      <w:r>
        <w:rPr>
          <w:i/>
          <w:iCs/>
        </w:rPr>
        <w:t xml:space="preserve">Proceedings of the 2016 Symposium on Digital Production</w:t>
      </w:r>
      <w:r>
        <w:t xml:space="preserve">, 31-42. ACM. https://doi.org/10.1145/2947688.2947696</w:t>
      </w:r>
    </w:p>
    <w:p>
      <w:pPr>
        <w:pStyle w:val="BodyText"/>
      </w:pPr>
      <w:r>
        <w:rPr>
          <w:b/>
          <w:bCs/>
        </w:rPr>
        <w:t xml:space="preserve">Supports:</w:t>
      </w:r>
      <w:r>
        <w:t xml:space="preserve"> </w:t>
      </w:r>
      <w:r>
        <w:t xml:space="preserve">reusable computation framework + Qt-based UI in professional VFX software.</w:t>
      </w:r>
    </w:p>
    <w:p>
      <w:pPr>
        <w:pStyle w:val="BodyText"/>
      </w:pPr>
      <w:r>
        <w:rPr>
          <w:b/>
          <w:bCs/>
        </w:rPr>
        <w:t xml:space="preserve">Use:</w:t>
      </w:r>
      <w:r>
        <w:t xml:space="preserve"> </w:t>
      </w:r>
      <w:r>
        <w:t xml:space="preserve">Architectural context for separating reusable processing logic from UI concerns.</w:t>
      </w:r>
    </w:p>
    <w:p>
      <w:pPr>
        <w:pStyle w:val="BodyText"/>
      </w:pPr>
      <w:r>
        <w:rPr>
          <w:b/>
          <w:bCs/>
        </w:rPr>
        <w:t xml:space="preserve">Difference:</w:t>
      </w:r>
      <w:r>
        <w:t xml:space="preserve"> </w:t>
      </w:r>
      <w:r>
        <w:t xml:space="preserve">Gaffer is much larger and solves a different problem; it is not a direct alternative to AOVGuard.</w:t>
      </w:r>
    </w:p>
    <w:bookmarkEnd w:id="116"/>
    <w:bookmarkStart w:id="117" w:name="isoiec-250102023"/>
    <w:p>
      <w:pPr>
        <w:pStyle w:val="Heading2"/>
        <w:keepNext/>
        <w:keepLines/>
      </w:pPr>
      <w:r>
        <w:t xml:space="preserve">21.27 ISO/IEC 25010:2023</w:t>
      </w:r>
    </w:p>
    <w:p>
      <w:pPr>
        <w:pStyle w:val="FirstParagraph"/>
      </w:pPr>
      <w:r>
        <w:rPr>
          <w:b/>
          <w:bCs/>
        </w:rPr>
        <w:t xml:space="preserve">Reference:</w:t>
      </w:r>
      <w:r>
        <w:t xml:space="preserve"> </w:t>
      </w:r>
      <w:r>
        <w:t xml:space="preserve">International Organization for Standardization. (2023).</w:t>
      </w:r>
      <w:r>
        <w:t xml:space="preserve"> </w:t>
      </w:r>
      <w:r>
        <w:rPr>
          <w:i/>
          <w:iCs/>
        </w:rPr>
        <w:t xml:space="preserve">ISO/IEC 25010:2023 Systems and software engineering - Systems and software Quality Requirements and Evaluation (SQuaRE) - Product quality model</w:t>
      </w:r>
      <w:r>
        <w:t xml:space="preserve">. https://www.iso.org/standard/78176.html</w:t>
      </w:r>
    </w:p>
    <w:p>
      <w:pPr>
        <w:pStyle w:val="BodyText"/>
      </w:pPr>
      <w:r>
        <w:rPr>
          <w:b/>
          <w:bCs/>
        </w:rPr>
        <w:t xml:space="preserve">Supports:</w:t>
      </w:r>
      <w:r>
        <w:t xml:space="preserve"> </w:t>
      </w:r>
      <w:r>
        <w:t xml:space="preserve">a recognised software product-quality model with multiple characteristics.</w:t>
      </w:r>
    </w:p>
    <w:p>
      <w:pPr>
        <w:pStyle w:val="BodyText"/>
      </w:pPr>
      <w:r>
        <w:rPr>
          <w:b/>
          <w:bCs/>
        </w:rPr>
        <w:t xml:space="preserve">Use:</w:t>
      </w:r>
      <w:r>
        <w:t xml:space="preserve"> </w:t>
      </w:r>
      <w:r>
        <w:t xml:space="preserve">Conceptual framework for critical evaluation.</w:t>
      </w:r>
    </w:p>
    <w:p>
      <w:pPr>
        <w:pStyle w:val="BodyText"/>
      </w:pPr>
      <w:r>
        <w:rPr>
          <w:b/>
          <w:bCs/>
        </w:rPr>
        <w:t xml:space="preserve">Do not claim:</w:t>
      </w:r>
      <w:r>
        <w:t xml:space="preserve"> </w:t>
      </w:r>
      <w:r>
        <w:t xml:space="preserve">formal compliance/certification.</w:t>
      </w:r>
    </w:p>
    <w:bookmarkEnd w:id="117"/>
    <w:bookmarkStart w:id="118" w:name="wohlin-et-al.-2024"/>
    <w:p>
      <w:pPr>
        <w:pStyle w:val="Heading2"/>
        <w:keepNext/>
        <w:keepLines/>
      </w:pPr>
      <w:r>
        <w:t xml:space="preserve">21.28 Wohlin et al. (2024)</w:t>
      </w:r>
    </w:p>
    <w:p>
      <w:pPr>
        <w:pStyle w:val="FirstParagraph"/>
      </w:pPr>
      <w:r>
        <w:rPr>
          <w:b/>
          <w:bCs/>
        </w:rPr>
        <w:t>Reference: Wohlin, C., Runeson, P., Höst, M., Ohlsson, M. C., Regnell, B., &amp; Wesslén, A. (2024). Experimentation in software engineering (2nd ed.). Springer. https://doi.org/10.1007/978-3-662-69306-3</w:t>
      </w:r>
      <w:r/>
      <w:r/>
      <w:r/>
      <w:r>
        <w:rPr>
          <w:i/>
          <w:iCs/>
        </w:rPr>
      </w:r>
      <w:r/>
      <w:r/>
    </w:p>
    <w:p>
      <w:pPr>
        <w:pStyle w:val="BodyText"/>
      </w:pPr>
      <w:r>
        <w:rPr>
          <w:b/>
          <w:bCs/>
        </w:rPr>
        <w:t xml:space="preserve">Type:</w:t>
      </w:r>
      <w:r>
        <w:t xml:space="preserve"> </w:t>
      </w:r>
      <w:r>
        <w:t xml:space="preserve">Core empirical software-engineering methodology text.</w:t>
      </w:r>
    </w:p>
    <w:p>
      <w:pPr>
        <w:pStyle w:val="BodyText"/>
      </w:pPr>
      <w:r>
        <w:rPr>
          <w:b/>
          <w:bCs/>
        </w:rPr>
        <w:t xml:space="preserve">Supports:</w:t>
      </w:r>
      <w:r>
        <w:t xml:space="preserve"> </w:t>
      </w:r>
      <w:r>
        <w:t xml:space="preserve">experiment design, variables, research design, interpretation and validity.</w:t>
      </w:r>
    </w:p>
    <w:p>
      <w:pPr>
        <w:pStyle w:val="BodyText"/>
      </w:pPr>
      <w:r>
        <w:rPr>
          <w:b/>
          <w:bCs/>
        </w:rPr>
        <w:t xml:space="preserve">Use:</w:t>
      </w:r>
      <w:r>
        <w:t xml:space="preserve"> </w:t>
      </w:r>
      <w:r>
        <w:t xml:space="preserve">Main methodology source for the frame-first experiment and evaluation structure.</w:t>
      </w:r>
    </w:p>
    <w:bookmarkEnd w:id="118"/>
    <w:bookmarkStart w:id="119" w:name="kalibera-jones-2013"/>
    <w:p>
      <w:pPr>
        <w:pStyle w:val="Heading2"/>
        <w:keepNext/>
        <w:keepLines/>
      </w:pPr>
      <w:r>
        <w:t xml:space="preserve">21.29 Kalibera &amp; Jones (2013)</w:t>
      </w:r>
    </w:p>
    <w:p>
      <w:pPr>
        <w:pStyle w:val="FirstParagraph"/>
      </w:pPr>
      <w:r>
        <w:rPr>
          <w:b/>
          <w:bCs/>
        </w:rPr>
        <w:t>Reference: Kalibera, T., &amp; Jones, R. E. (2013). Rigorous benchmarking in reasonable time. Proceedings of the 2013 International Symposium on Memory Management, 63-74. ACM. https://doi.org/10.1145/2464157.2464160</w:t>
      </w:r>
      <w:r/>
      <w:r/>
      <w:r/>
      <w:r>
        <w:rPr>
          <w:i/>
          <w:iCs/>
        </w:rPr>
      </w:r>
      <w:r/>
    </w:p>
    <w:p>
      <w:pPr>
        <w:pStyle w:val="BodyText"/>
      </w:pPr>
      <w:r>
        <w:rPr>
          <w:b/>
          <w:bCs/>
        </w:rPr>
        <w:t xml:space="preserve">Type:</w:t>
      </w:r>
      <w:r>
        <w:t xml:space="preserve"> </w:t>
      </w:r>
      <w:r>
        <w:t xml:space="preserve">Performance benchmarking methodology.</w:t>
      </w:r>
    </w:p>
    <w:p>
      <w:pPr>
        <w:pStyle w:val="BodyText"/>
      </w:pPr>
      <w:r>
        <w:rPr>
          <w:b/>
          <w:bCs/>
        </w:rPr>
        <w:t xml:space="preserve">Supports:</w:t>
      </w:r>
      <w:r>
        <w:t xml:space="preserve"> </w:t>
      </w:r>
      <w:r>
        <w:t xml:space="preserve">repetition, variation and statistically responsible performance measurement.</w:t>
      </w:r>
    </w:p>
    <w:p>
      <w:pPr>
        <w:pStyle w:val="BodyText"/>
      </w:pPr>
      <w:r>
        <w:rPr>
          <w:b/>
          <w:bCs/>
        </w:rPr>
        <w:t xml:space="preserve">Use:</w:t>
      </w:r>
      <w:r>
        <w:t xml:space="preserve"> </w:t>
      </w:r>
      <w:r>
        <w:t xml:space="preserve">Critical interpretation of AOV-first vs frame-first timing.</w:t>
      </w:r>
    </w:p>
    <w:p>
      <w:pPr>
        <w:pStyle w:val="BodyText"/>
      </w:pPr>
      <w:r>
        <w:rPr>
          <w:b/>
          <w:bCs/>
        </w:rPr>
        <w:t>Bibliographic note: The verified DOI is 10.1145/2464157.2464160, as listed by the University of Kent author repository and the version of record.</w:t>
      </w:r>
      <w:r/>
      <w:r/>
    </w:p>
    <w:bookmarkEnd w:id="119"/>
    <w:bookmarkStart w:id="120" w:name="inozemtseva-holmes-2014"/>
    <w:p>
      <w:pPr>
        <w:pStyle w:val="Heading2"/>
        <w:keepNext/>
        <w:keepLines/>
      </w:pPr>
      <w:r>
        <w:t xml:space="preserve">21.30 Inozemtseva &amp; Holmes (2014)</w:t>
      </w:r>
    </w:p>
    <w:p>
      <w:pPr>
        <w:pStyle w:val="FirstParagraph"/>
      </w:pPr>
      <w:r>
        <w:rPr>
          <w:b/>
          <w:bCs/>
        </w:rPr>
        <w:t xml:space="preserve">Reference:</w:t>
      </w:r>
      <w:r>
        <w:t xml:space="preserve"> </w:t>
      </w:r>
      <w:r>
        <w:t xml:space="preserve">Inozemtseva, L., &amp; Holmes, R. (2014). Coverage is not strongly correlated with test suite effectiveness.</w:t>
      </w:r>
      <w:r>
        <w:t xml:space="preserve"> </w:t>
      </w:r>
      <w:r>
        <w:rPr>
          <w:i/>
          <w:iCs/>
        </w:rPr>
        <w:t xml:space="preserve">Proceedings of the 36th International Conference on Software Engineering</w:t>
      </w:r>
      <w:r>
        <w:t xml:space="preserve">, 435-445. ACM. https://doi.org/10.1145/2568225.2568271</w:t>
      </w:r>
    </w:p>
    <w:p>
      <w:pPr>
        <w:pStyle w:val="BodyText"/>
      </w:pPr>
      <w:r>
        <w:rPr>
          <w:b/>
          <w:bCs/>
        </w:rPr>
        <w:t xml:space="preserve">Supports:</w:t>
      </w:r>
      <w:r>
        <w:t xml:space="preserve"> </w:t>
      </w:r>
      <w:r>
        <w:t xml:space="preserve">critical distinction between code coverage and test-suite effectiveness.</w:t>
      </w:r>
    </w:p>
    <w:p>
      <w:pPr>
        <w:pStyle w:val="BodyText"/>
      </w:pPr>
      <w:r>
        <w:rPr>
          <w:b/>
          <w:bCs/>
        </w:rPr>
        <w:t xml:space="preserve">Use:</w:t>
      </w:r>
      <w:r>
        <w:t xml:space="preserve"> </w:t>
      </w:r>
      <w:r>
        <w:t xml:space="preserve">Essential to interpret the recorded 97.50% coverage responsibly.</w:t>
      </w:r>
    </w:p>
    <w:bookmarkEnd w:id="120"/>
    <w:bookmarkStart w:id="121" w:name="ammann-offutt-2016"/>
    <w:p>
      <w:pPr>
        <w:pStyle w:val="Heading2"/>
        <w:keepNext/>
        <w:keepLines/>
      </w:pPr>
      <w:r>
        <w:t>21.31 Ammann &amp; Offutt (2017)</w:t>
      </w:r>
    </w:p>
    <w:p>
      <w:pPr>
        <w:pStyle w:val="FirstParagraph"/>
      </w:pPr>
      <w:r>
        <w:rPr>
          <w:b/>
          <w:bCs/>
        </w:rPr>
        <w:t>Reference: Ammann, P., &amp; Offutt, J. (2017). Introduction to software testing (2nd ed.). Cambridge University Press. https://doi.org/10.1017/9781316771273</w:t>
      </w:r>
      <w:r/>
      <w:r/>
      <w:r/>
      <w:r>
        <w:rPr>
          <w:i/>
          <w:iCs/>
        </w:rPr>
      </w:r>
      <w:r/>
      <w:r/>
    </w:p>
    <w:p>
      <w:pPr>
        <w:pStyle w:val="BodyText"/>
      </w:pPr>
      <w:r>
        <w:rPr>
          <w:b/>
          <w:bCs/>
        </w:rPr>
        <w:t xml:space="preserve">Supports:</w:t>
      </w:r>
      <w:r>
        <w:t xml:space="preserve"> </w:t>
      </w:r>
      <w:r>
        <w:t xml:space="preserve">testing concepts, coverage, test requirements, edge cases and regression testing.</w:t>
      </w:r>
    </w:p>
    <w:p>
      <w:pPr>
        <w:pStyle w:val="BodyText"/>
      </w:pPr>
      <w:r>
        <w:rPr>
          <w:b/>
          <w:bCs/>
        </w:rPr>
        <w:t xml:space="preserve">Use:</w:t>
      </w:r>
      <w:r>
        <w:t xml:space="preserve"> </w:t>
      </w:r>
      <w:r>
        <w:t xml:space="preserve">Methodology background.</w:t>
      </w:r>
    </w:p>
    <w:bookmarkEnd w:id="121"/>
    <w:bookmarkStart w:id="122" w:name="brooke-1996---sus"/>
    <w:p>
      <w:pPr>
        <w:pStyle w:val="Heading2"/>
        <w:keepNext/>
        <w:keepLines/>
      </w:pPr>
      <w:r>
        <w:t xml:space="preserve">21.32 Brooke (1996) - SUS</w:t>
      </w:r>
    </w:p>
    <w:p>
      <w:pPr>
        <w:pStyle w:val="FirstParagraph"/>
      </w:pPr>
      <w:r>
        <w:rPr>
          <w:b/>
          <w:bCs/>
        </w:rPr>
        <w:t xml:space="preserve">Reference:</w:t>
      </w:r>
      <w:r>
        <w:t xml:space="preserve"> </w:t>
      </w:r>
      <w:r>
        <w:t xml:space="preserve">Brooke, J. (1996). SUS: A</w:t>
      </w:r>
      <w:r>
        <w:t xml:space="preserve"> </w:t>
      </w:r>
      <w:r>
        <w:t xml:space="preserve">“</w:t>
      </w:r>
      <w:r>
        <w:t xml:space="preserve">quick and dirty</w:t>
      </w:r>
      <w:r>
        <w:t xml:space="preserve">”</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w:t>
      </w:r>
    </w:p>
    <w:p>
      <w:pPr>
        <w:pStyle w:val="BodyText"/>
      </w:pPr>
      <w:r>
        <w:rPr>
          <w:b/>
          <w:bCs/>
        </w:rPr>
        <w:t xml:space="preserve">Use:</w:t>
      </w:r>
      <w:r>
        <w:t xml:space="preserve"> </w:t>
      </w:r>
      <w:r>
        <w:t xml:space="preserve">Only if a genuine, ethically appropriate usability evaluation is performed.</w:t>
      </w:r>
    </w:p>
    <w:p>
      <w:pPr>
        <w:pStyle w:val="BodyText"/>
      </w:pPr>
      <w:r>
        <w:rPr>
          <w:b/>
          <w:bCs/>
        </w:rPr>
        <w:t xml:space="preserve">Current status:</w:t>
      </w:r>
      <w:r>
        <w:t xml:space="preserve"> </w:t>
      </w:r>
      <w:r>
        <w:t xml:space="preserve">There are no formal user-study results in the release. Do not claim measured usability improvement.</w:t>
      </w:r>
    </w:p>
    <w:bookmarkEnd w:id="122"/>
    <w:bookmarkStart w:id="123" w:name="vfx-reference-platform-cy2026"/>
    <w:p>
      <w:pPr>
        <w:pStyle w:val="Heading2"/>
        <w:keepNext/>
        <w:keepLines/>
      </w:pPr>
      <w:r>
        <w:t xml:space="preserve">21.33 VFX Reference Platform CY2026</w:t>
      </w:r>
    </w:p>
    <w:p>
      <w:pPr>
        <w:pStyle w:val="FirstParagraph"/>
      </w:pPr>
      <w:r>
        <w:rPr>
          <w:b/>
          <w:bCs/>
        </w:rPr>
        <w:t xml:space="preserve">URL:</w:t>
      </w:r>
      <w:r>
        <w:t xml:space="preserve"> </w:t>
      </w:r>
      <w:r>
        <w:t xml:space="preserve">https://vfxplatform.com/</w:t>
      </w:r>
    </w:p>
    <w:p>
      <w:pPr>
        <w:pStyle w:val="BodyText"/>
      </w:pPr>
      <w:r>
        <w:rPr>
          <w:b/>
          <w:bCs/>
        </w:rPr>
        <w:t xml:space="preserve">Supports:</w:t>
      </w:r>
      <w:r>
        <w:t xml:space="preserve"> </w:t>
      </w:r>
      <w:r>
        <w:t xml:space="preserve">standardised library/tool version targets intended to reduce incompatibility across VFX software.</w:t>
      </w:r>
    </w:p>
    <w:p>
      <w:pPr>
        <w:pStyle w:val="BodyText"/>
      </w:pPr>
      <w:r>
        <w:rPr>
          <w:b/>
          <w:bCs/>
        </w:rPr>
        <w:t xml:space="preserve">Use:</w:t>
      </w:r>
      <w:r>
        <w:t xml:space="preserve"> </w:t>
      </w:r>
      <w:r>
        <w:t xml:space="preserve">Deployment and ecosystem context.</w:t>
      </w:r>
    </w:p>
    <w:p>
      <w:pPr>
        <w:pStyle w:val="BodyText"/>
      </w:pPr>
      <w:r>
        <w:rPr>
          <w:b/>
          <w:bCs/>
        </w:rPr>
        <w:t xml:space="preserve">Important finding:</w:t>
      </w:r>
      <w:r>
        <w:t xml:space="preserve"> </w:t>
      </w:r>
      <w:r>
        <w:t xml:space="preserve">CY2026 targets Python 3.13.x, while current AOVGuard declares Python &gt;=3.11,&lt;3.13. Therefore it is useful context but not evidence of current CY2026 conformity.</w:t>
      </w:r>
    </w:p>
    <w:bookmarkEnd w:id="123"/>
    <w:bookmarkStart w:id="124" w:name="qt-for-python-pyside6-documentation"/>
    <w:p>
      <w:pPr>
        <w:pStyle w:val="Heading2"/>
        <w:keepNext/>
        <w:keepLines/>
      </w:pPr>
      <w:r>
        <w:t xml:space="preserve">21.34 Qt for Python / PySide6 documentation</w:t>
      </w:r>
    </w:p>
    <w:p>
      <w:pPr>
        <w:pStyle w:val="FirstParagraph"/>
      </w:pPr>
      <w:r>
        <w:rPr>
          <w:b/>
          <w:bCs/>
        </w:rPr>
        <w:t xml:space="preserve">URL:</w:t>
      </w:r>
      <w:r>
        <w:t xml:space="preserve"> </w:t>
      </w:r>
      <w:r>
        <w:t xml:space="preserve">https://doc.qt.io/qtforpython-6/</w:t>
      </w:r>
    </w:p>
    <w:p>
      <w:pPr>
        <w:pStyle w:val="BodyText"/>
      </w:pPr>
      <w:r>
        <w:rPr>
          <w:b/>
          <w:bCs/>
        </w:rPr>
        <w:t xml:space="preserve">Use:</w:t>
      </w:r>
      <w:r>
        <w:t xml:space="preserve"> </w:t>
      </w:r>
      <w:r>
        <w:t xml:space="preserve">Implementation documentation for QThread, widgets, signals and slots.</w:t>
      </w:r>
    </w:p>
    <w:p>
      <w:pPr>
        <w:pStyle w:val="BodyText"/>
      </w:pPr>
      <w:r>
        <w:rPr>
          <w:b/>
          <w:bCs/>
        </w:rPr>
        <w:t xml:space="preserve">Academic role:</w:t>
      </w:r>
      <w:r>
        <w:t xml:space="preserve"> </w:t>
      </w:r>
      <w:r>
        <w:t xml:space="preserve">Technical documentation, not Related Work demonstrating research novelty.</w:t>
      </w:r>
    </w:p>
    <w:bookmarkEnd w:id="124"/>
    <w:bookmarkStart w:id="125" w:name="pytest-pytest-cov-documentation"/>
    <w:p>
      <w:pPr>
        <w:pStyle w:val="Heading2"/>
        <w:keepNext/>
        <w:keepLines/>
      </w:pPr>
      <w:r>
        <w:t xml:space="preserve">21.35 pytest / pytest-cov documentation</w:t>
      </w:r>
    </w:p>
    <w:p>
      <w:pPr>
        <w:pStyle w:val="FirstParagraph"/>
      </w:pPr>
      <w:r>
        <w:rPr>
          <w:b/>
          <w:bCs/>
        </w:rPr>
        <w:t xml:space="preserve">URLs:</w:t>
      </w:r>
      <w:r>
        <w:t xml:space="preserve"> </w:t>
      </w:r>
      <w:r>
        <w:t xml:space="preserve">https://docs.pytest.org/ and https://pytest-cov.readthedocs.io/</w:t>
      </w:r>
    </w:p>
    <w:p>
      <w:pPr>
        <w:pStyle w:val="BodyText"/>
      </w:pPr>
      <w:r>
        <w:rPr>
          <w:b/>
          <w:bCs/>
        </w:rPr>
        <w:t xml:space="preserve">Use:</w:t>
      </w:r>
      <w:r>
        <w:t xml:space="preserve"> </w:t>
      </w:r>
      <w:r>
        <w:t xml:space="preserve">Implementation details of the test tooling.</w:t>
      </w:r>
    </w:p>
    <w:p>
      <w:pPr>
        <w:pStyle w:val="BodyText"/>
      </w:pPr>
      <w:r>
        <w:rPr>
          <w:b/>
          <w:bCs/>
        </w:rPr>
        <w:t xml:space="preserve">Academic interpretation should instead rely on:</w:t>
      </w:r>
      <w:r>
        <w:t xml:space="preserve"> </w:t>
      </w:r>
      <w:r>
        <w:t xml:space="preserve">Ammann &amp; Offutt and Inozemtseva &amp; Holmes.</w:t>
      </w:r>
    </w:p>
    <w:bookmarkEnd w:id="125"/>
    <w:bookmarkEnd w:id="126"/>
    <w:bookmarkStart w:id="127" w:name="related-system-comparison"/>
    <w:p>
      <w:pPr>
        <w:pStyle w:val="Heading1"/>
        <w:keepNext/>
        <w:keepLines/>
      </w:pPr>
      <w:r>
        <w:t xml:space="preserve">22. Related-system comparison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30" w:before="30"/>
              <w:jc w:val="left"/>
            </w:pPr>
            <w:r>
              <w:rPr>
                <w:rFonts w:ascii="Aptos" w:hAnsi="Aptos"/>
                <w:b/>
                <w:color w:val="17365D"/>
                <w:sz w:val="17"/>
              </w:rPr>
              <w:t xml:space="preserve">Existing work/tool</w:t>
            </w:r>
          </w:p>
        </w:tc>
        <w:tc>
          <w:tcPr>
            <w:vAlign w:val="center"/>
            <w:shd w:fill="DCE6F1"/>
          </w:tcPr>
          <w:p>
            <w:pPr>
              <w:pStyle w:val="Compact"/>
              <w:spacing w:after="30" w:before="30"/>
              <w:jc w:val="left"/>
            </w:pPr>
            <w:r>
              <w:rPr>
                <w:rFonts w:ascii="Aptos" w:hAnsi="Aptos"/>
                <w:b/>
                <w:color w:val="17365D"/>
                <w:sz w:val="17"/>
              </w:rPr>
              <w:t xml:space="preserve">Main focus</w:t>
            </w:r>
          </w:p>
        </w:tc>
        <w:tc>
          <w:tcPr>
            <w:vAlign w:val="center"/>
            <w:shd w:fill="DCE6F1"/>
          </w:tcPr>
          <w:p>
            <w:pPr>
              <w:pStyle w:val="Compact"/>
              <w:spacing w:after="30" w:before="30"/>
              <w:jc w:val="left"/>
            </w:pPr>
            <w:r>
              <w:rPr>
                <w:rFonts w:ascii="Aptos" w:hAnsi="Aptos"/>
                <w:b/>
                <w:color w:val="17365D"/>
                <w:sz w:val="17"/>
              </w:rPr>
              <w:t xml:space="preserve">Relationship to AOVGuard</w:t>
            </w:r>
          </w:p>
        </w:tc>
      </w:tr>
      <w:tr>
        <w:tc>
          <w:tcPr>
            <w:vAlign w:val="center"/>
          </w:tcPr>
          <w:p>
            <w:pPr>
              <w:pStyle w:val="Compact"/>
              <w:spacing w:after="30" w:before="30"/>
              <w:jc w:val="left"/>
            </w:pPr>
            <w:r>
              <w:rPr>
                <w:rFonts w:ascii="Aptos" w:hAnsi="Aptos"/>
                <w:sz w:val="17"/>
              </w:rPr>
              <w:t xml:space="preserve">OpenEXR</w:t>
            </w:r>
            <w:r>
              <w:rPr>
                <w:rFonts w:ascii="Aptos" w:hAnsi="Aptos"/>
                <w:sz w:val="17"/>
              </w:rPr>
              <w:t xml:space="preserve"> </w:t>
            </w:r>
            <w:r>
              <w:rPr>
                <w:rStyle w:val="VerbatimChar"/>
                <w:rFonts w:ascii="Aptos" w:hAnsi="Aptos"/>
                <w:sz w:val="17"/>
              </w:rPr>
              <w:t xml:space="preserve">exrcheck</w:t>
            </w:r>
            <w:r>
              <w:rPr>
                <w:rFonts w:ascii="Aptos" w:hAnsi="Aptos"/>
                <w:sz w:val="17"/>
              </w:rPr>
              <w:t xml:space="preserve"> </w:t>
            </w:r>
            <w:r>
              <w:rPr>
                <w:rFonts w:ascii="Aptos" w:hAnsi="Aptos"/>
                <w:sz w:val="17"/>
              </w:rPr>
              <w:t xml:space="preserve">/</w:t>
            </w:r>
            <w:r>
              <w:rPr>
                <w:rFonts w:ascii="Aptos" w:hAnsi="Aptos"/>
                <w:sz w:val="17"/>
              </w:rPr>
              <w:t xml:space="preserve"> </w:t>
            </w:r>
            <w:r>
              <w:rPr>
                <w:rStyle w:val="VerbatimChar"/>
                <w:rFonts w:ascii="Aptos" w:hAnsi="Aptos"/>
                <w:sz w:val="17"/>
              </w:rPr>
              <w:t xml:space="preserve">exrinfo</w:t>
            </w:r>
            <w:r>
              <w:rPr>
                <w:rFonts w:ascii="Aptos" w:hAnsi="Aptos"/>
                <w:sz w:val="17"/>
              </w:rPr>
              <w:t xml:space="preserve"> </w:t>
            </w:r>
            <w:r>
              <w:rPr>
                <w:rFonts w:ascii="Aptos" w:hAnsi="Aptos"/>
                <w:sz w:val="17"/>
              </w:rPr>
              <w:t xml:space="preserve">/</w:t>
            </w:r>
            <w:r>
              <w:rPr>
                <w:rFonts w:ascii="Aptos" w:hAnsi="Aptos"/>
                <w:sz w:val="17"/>
              </w:rPr>
              <w:t xml:space="preserve"> </w:t>
            </w:r>
            <w:r>
              <w:rPr>
                <w:rStyle w:val="VerbatimChar"/>
                <w:rFonts w:ascii="Aptos" w:hAnsi="Aptos"/>
                <w:sz w:val="17"/>
              </w:rPr>
              <w:t xml:space="preserve">exrheader</w:t>
            </w:r>
          </w:p>
        </w:tc>
        <w:tc>
          <w:tcPr>
            <w:vAlign w:val="center"/>
          </w:tcPr>
          <w:p>
            <w:pPr>
              <w:pStyle w:val="Compact"/>
              <w:spacing w:after="30" w:before="30"/>
              <w:jc w:val="left"/>
            </w:pPr>
            <w:r>
              <w:rPr>
                <w:rFonts w:ascii="Aptos" w:hAnsi="Aptos"/>
                <w:sz w:val="17"/>
              </w:rPr>
              <w:t xml:space="preserve">low-level EXR validity/structure</w:t>
            </w:r>
          </w:p>
        </w:tc>
        <w:tc>
          <w:tcPr>
            <w:vAlign w:val="center"/>
          </w:tcPr>
          <w:p>
            <w:pPr>
              <w:pStyle w:val="Compact"/>
              <w:spacing w:after="30" w:before="30"/>
              <w:jc w:val="left"/>
            </w:pPr>
            <w:r>
              <w:rPr>
                <w:rFonts w:ascii="Aptos" w:hAnsi="Aptos"/>
                <w:sz w:val="17"/>
              </w:rPr>
              <w:t xml:space="preserve">establishes existing EXR inspection; AOVGuard adds AOV-aware workflow logic</w:t>
            </w:r>
          </w:p>
        </w:tc>
      </w:tr>
      <w:tr>
        <w:tc>
          <w:tcPr>
            <w:vAlign w:val="center"/>
          </w:tcPr>
          <w:p>
            <w:pPr>
              <w:pStyle w:val="Compact"/>
              <w:spacing w:after="30" w:before="30"/>
              <w:jc w:val="left"/>
            </w:pPr>
            <w:r>
              <w:rPr>
                <w:rFonts w:ascii="Aptos" w:hAnsi="Aptos"/>
                <w:sz w:val="17"/>
              </w:rPr>
              <w:t xml:space="preserve">OpenEXR</w:t>
            </w:r>
            <w:r>
              <w:rPr>
                <w:rFonts w:ascii="Aptos" w:hAnsi="Aptos"/>
                <w:sz w:val="17"/>
              </w:rPr>
              <w:t xml:space="preserve"> </w:t>
            </w:r>
            <w:r>
              <w:rPr>
                <w:rStyle w:val="VerbatimChar"/>
                <w:rFonts w:ascii="Aptos" w:hAnsi="Aptos"/>
                <w:sz w:val="17"/>
              </w:rPr>
              <w:t xml:space="preserve">exrmetrics</w:t>
            </w:r>
          </w:p>
        </w:tc>
        <w:tc>
          <w:tcPr>
            <w:vAlign w:val="center"/>
          </w:tcPr>
          <w:p>
            <w:pPr>
              <w:pStyle w:val="Compact"/>
              <w:spacing w:after="30" w:before="30"/>
              <w:jc w:val="left"/>
            </w:pPr>
            <w:r>
              <w:rPr>
                <w:rFonts w:ascii="Aptos" w:hAnsi="Aptos"/>
                <w:sz w:val="17"/>
              </w:rPr>
              <w:t xml:space="preserve">EXR read/write/storage measurements</w:t>
            </w:r>
          </w:p>
        </w:tc>
        <w:tc>
          <w:tcPr>
            <w:vAlign w:val="center"/>
          </w:tcPr>
          <w:p>
            <w:pPr>
              <w:pStyle w:val="Compact"/>
              <w:spacing w:after="30" w:before="30"/>
              <w:jc w:val="left"/>
            </w:pPr>
            <w:r>
              <w:rPr>
                <w:rFonts w:ascii="Aptos" w:hAnsi="Aptos"/>
                <w:sz w:val="17"/>
              </w:rPr>
              <w:t xml:space="preserve">related performance utility, not AOV validation</w:t>
            </w:r>
          </w:p>
        </w:tc>
      </w:tr>
      <w:tr>
        <w:tc>
          <w:tcPr>
            <w:vAlign w:val="center"/>
          </w:tcPr>
          <w:p>
            <w:pPr>
              <w:pStyle w:val="Compact"/>
              <w:spacing w:after="30" w:before="30"/>
              <w:jc w:val="left"/>
            </w:pPr>
            <w:r>
              <w:rPr>
                <w:rFonts w:ascii="Aptos" w:hAnsi="Aptos"/>
                <w:sz w:val="17"/>
              </w:rPr>
              <w:t xml:space="preserve">OpenImageIO /</w:t>
            </w:r>
            <w:r>
              <w:rPr>
                <w:rFonts w:ascii="Aptos" w:hAnsi="Aptos"/>
                <w:sz w:val="17"/>
              </w:rPr>
              <w:t xml:space="preserve"> </w:t>
            </w:r>
            <w:r>
              <w:rPr>
                <w:rStyle w:val="VerbatimChar"/>
                <w:rFonts w:ascii="Aptos" w:hAnsi="Aptos"/>
                <w:sz w:val="17"/>
              </w:rPr>
              <w:t xml:space="preserve">oiiotool</w:t>
            </w:r>
          </w:p>
        </w:tc>
        <w:tc>
          <w:tcPr>
            <w:vAlign w:val="center"/>
          </w:tcPr>
          <w:p>
            <w:pPr>
              <w:pStyle w:val="Compact"/>
              <w:spacing w:after="30" w:before="30"/>
              <w:jc w:val="left"/>
            </w:pPr>
            <w:r>
              <w:rPr>
                <w:rFonts w:ascii="Aptos" w:hAnsi="Aptos"/>
                <w:sz w:val="17"/>
              </w:rPr>
              <w:t xml:space="preserve">general image I/O, processing, metadata and statistics</w:t>
            </w:r>
          </w:p>
        </w:tc>
        <w:tc>
          <w:tcPr>
            <w:vAlign w:val="center"/>
          </w:tcPr>
          <w:p>
            <w:pPr>
              <w:pStyle w:val="Compact"/>
              <w:spacing w:after="30" w:before="30"/>
              <w:jc w:val="left"/>
            </w:pPr>
            <w:r>
              <w:rPr>
                <w:rFonts w:ascii="Aptos" w:hAnsi="Aptos"/>
                <w:sz w:val="17"/>
              </w:rPr>
              <w:t xml:space="preserve">closest technical comparator for image statistics/inspection</w:t>
            </w:r>
          </w:p>
        </w:tc>
      </w:tr>
      <w:tr>
        <w:tc>
          <w:tcPr>
            <w:vAlign w:val="center"/>
          </w:tcPr>
          <w:p>
            <w:pPr>
              <w:pStyle w:val="Compact"/>
              <w:spacing w:after="30" w:before="30"/>
              <w:jc w:val="left"/>
            </w:pPr>
            <w:r>
              <w:rPr>
                <w:rFonts w:ascii="Aptos" w:hAnsi="Aptos"/>
                <w:sz w:val="17"/>
              </w:rPr>
              <w:t xml:space="preserve">OpenImageIO</w:t>
            </w:r>
            <w:r>
              <w:rPr>
                <w:rFonts w:ascii="Aptos" w:hAnsi="Aptos"/>
                <w:sz w:val="17"/>
              </w:rPr>
              <w:t xml:space="preserve"> </w:t>
            </w:r>
            <w:r>
              <w:rPr>
                <w:rStyle w:val="VerbatimChar"/>
                <w:rFonts w:ascii="Aptos" w:hAnsi="Aptos"/>
                <w:sz w:val="17"/>
              </w:rPr>
              <w:t xml:space="preserve">idiff</w:t>
            </w:r>
          </w:p>
        </w:tc>
        <w:tc>
          <w:tcPr>
            <w:vAlign w:val="center"/>
          </w:tcPr>
          <w:p>
            <w:pPr>
              <w:pStyle w:val="Compact"/>
              <w:spacing w:after="30" w:before="30"/>
              <w:jc w:val="left"/>
            </w:pPr>
            <w:r>
              <w:rPr>
                <w:rFonts w:ascii="Aptos" w:hAnsi="Aptos"/>
                <w:sz w:val="17"/>
              </w:rPr>
              <w:t xml:space="preserve">threshold image comparison</w:t>
            </w:r>
          </w:p>
        </w:tc>
        <w:tc>
          <w:tcPr>
            <w:vAlign w:val="center"/>
          </w:tcPr>
          <w:p>
            <w:pPr>
              <w:pStyle w:val="Compact"/>
              <w:spacing w:after="30" w:before="30"/>
              <w:jc w:val="left"/>
            </w:pPr>
            <w:r>
              <w:rPr>
                <w:rFonts w:ascii="Aptos" w:hAnsi="Aptos"/>
                <w:sz w:val="17"/>
              </w:rPr>
              <w:t xml:space="preserve">related validation operation, not AOV/sequence workflow</w:t>
            </w:r>
          </w:p>
        </w:tc>
      </w:tr>
      <w:tr>
        <w:tc>
          <w:tcPr>
            <w:vAlign w:val="center"/>
          </w:tcPr>
          <w:p>
            <w:pPr>
              <w:pStyle w:val="Compact"/>
              <w:spacing w:after="30" w:before="30"/>
              <w:jc w:val="left"/>
            </w:pPr>
            <w:r>
              <w:rPr>
                <w:rFonts w:ascii="Aptos" w:hAnsi="Aptos"/>
                <w:sz w:val="17"/>
              </w:rPr>
              <w:t xml:space="preserve">DNEG AOV management (2018)</w:t>
            </w:r>
          </w:p>
        </w:tc>
        <w:tc>
          <w:tcPr>
            <w:vAlign w:val="center"/>
          </w:tcPr>
          <w:p>
            <w:pPr>
              <w:pStyle w:val="Compact"/>
              <w:spacing w:after="30" w:before="30"/>
              <w:jc w:val="left"/>
            </w:pPr>
            <w:r>
              <w:rPr>
                <w:rFonts w:ascii="Aptos" w:hAnsi="Aptos"/>
                <w:sz w:val="17"/>
              </w:rPr>
              <w:t xml:space="preserve">AOV manipulation/reconstruction in compositing</w:t>
            </w:r>
          </w:p>
        </w:tc>
        <w:tc>
          <w:tcPr>
            <w:vAlign w:val="center"/>
          </w:tcPr>
          <w:p>
            <w:pPr>
              <w:pStyle w:val="Compact"/>
              <w:spacing w:after="30" w:before="30"/>
              <w:jc w:val="left"/>
            </w:pPr>
            <w:r>
              <w:rPr>
                <w:rFonts w:ascii="Aptos" w:hAnsi="Aptos"/>
                <w:sz w:val="17"/>
              </w:rPr>
              <w:t xml:space="preserve">validates the production complexity of AOVs, different stage/problem</w:t>
            </w:r>
          </w:p>
        </w:tc>
      </w:tr>
      <w:tr>
        <w:tc>
          <w:tcPr>
            <w:vAlign w:val="center"/>
          </w:tcPr>
          <w:p>
            <w:pPr>
              <w:pStyle w:val="Compact"/>
              <w:spacing w:after="30" w:before="30"/>
              <w:jc w:val="left"/>
            </w:pPr>
            <w:r>
              <w:rPr>
                <w:rFonts w:ascii="Aptos" w:hAnsi="Aptos"/>
                <w:sz w:val="17"/>
              </w:rPr>
              <w:t xml:space="preserve">Cryptomatte</w:t>
            </w:r>
          </w:p>
        </w:tc>
        <w:tc>
          <w:tcPr>
            <w:vAlign w:val="center"/>
          </w:tcPr>
          <w:p>
            <w:pPr>
              <w:pStyle w:val="Compact"/>
              <w:spacing w:after="30" w:before="30"/>
              <w:jc w:val="left"/>
            </w:pPr>
            <w:r>
              <w:rPr>
                <w:rFonts w:ascii="Aptos" w:hAnsi="Aptos"/>
                <w:sz w:val="17"/>
              </w:rPr>
              <w:t xml:space="preserve">structured ID mattes</w:t>
            </w:r>
          </w:p>
        </w:tc>
        <w:tc>
          <w:tcPr>
            <w:vAlign w:val="center"/>
          </w:tcPr>
          <w:p>
            <w:pPr>
              <w:pStyle w:val="Compact"/>
              <w:spacing w:after="30" w:before="30"/>
              <w:jc w:val="left"/>
            </w:pPr>
            <w:r>
              <w:rPr>
                <w:rFonts w:ascii="Aptos" w:hAnsi="Aptos"/>
                <w:sz w:val="17"/>
              </w:rPr>
              <w:t xml:space="preserve">demonstrates semantically rich auxiliary render data</w:t>
            </w:r>
          </w:p>
        </w:tc>
      </w:tr>
      <w:tr>
        <w:tc>
          <w:tcPr>
            <w:vAlign w:val="center"/>
          </w:tcPr>
          <w:p>
            <w:pPr>
              <w:pStyle w:val="Compact"/>
              <w:spacing w:after="30" w:before="30"/>
              <w:jc w:val="left"/>
            </w:pPr>
            <w:r>
              <w:rPr>
                <w:rFonts w:ascii="Aptos" w:hAnsi="Aptos"/>
                <w:sz w:val="17"/>
              </w:rPr>
              <w:t xml:space="preserve">Pyblish</w:t>
            </w:r>
          </w:p>
        </w:tc>
        <w:tc>
          <w:tcPr>
            <w:vAlign w:val="center"/>
          </w:tcPr>
          <w:p>
            <w:pPr>
              <w:pStyle w:val="Compact"/>
              <w:spacing w:after="30" w:before="30"/>
              <w:jc w:val="left"/>
            </w:pPr>
            <w:r>
              <w:rPr>
                <w:rFonts w:ascii="Aptos" w:hAnsi="Aptos"/>
                <w:sz w:val="17"/>
              </w:rPr>
              <w:t xml:space="preserve">generic pipeline content validation/publishing</w:t>
            </w:r>
          </w:p>
        </w:tc>
        <w:tc>
          <w:tcPr>
            <w:vAlign w:val="center"/>
          </w:tcPr>
          <w:p>
            <w:pPr>
              <w:pStyle w:val="Compact"/>
              <w:spacing w:after="30" w:before="30"/>
              <w:jc w:val="left"/>
            </w:pPr>
            <w:r>
              <w:rPr>
                <w:rFonts w:ascii="Aptos" w:hAnsi="Aptos"/>
                <w:sz w:val="17"/>
              </w:rPr>
              <w:t xml:space="preserve">conceptual validation-framework comparator</w:t>
            </w:r>
          </w:p>
        </w:tc>
      </w:tr>
      <w:tr>
        <w:tc>
          <w:tcPr>
            <w:vAlign w:val="center"/>
          </w:tcPr>
          <w:p>
            <w:pPr>
              <w:pStyle w:val="Compact"/>
              <w:spacing w:after="30" w:before="30"/>
              <w:jc w:val="left"/>
            </w:pPr>
            <w:r>
              <w:rPr>
                <w:rFonts w:ascii="Aptos" w:hAnsi="Aptos"/>
                <w:sz w:val="17"/>
              </w:rPr>
              <w:t xml:space="preserve">ILM Asset Quality</w:t>
            </w:r>
          </w:p>
        </w:tc>
        <w:tc>
          <w:tcPr>
            <w:vAlign w:val="center"/>
          </w:tcPr>
          <w:p>
            <w:pPr>
              <w:pStyle w:val="Compact"/>
              <w:spacing w:after="30" w:before="30"/>
              <w:jc w:val="left"/>
            </w:pPr>
            <w:r>
              <w:rPr>
                <w:rFonts w:ascii="Aptos" w:hAnsi="Aptos"/>
                <w:sz w:val="17"/>
              </w:rPr>
              <w:t xml:space="preserve">asset sanity checking/QC</w:t>
            </w:r>
          </w:p>
        </w:tc>
        <w:tc>
          <w:tcPr>
            <w:vAlign w:val="center"/>
          </w:tcPr>
          <w:p>
            <w:pPr>
              <w:pStyle w:val="Compact"/>
              <w:spacing w:after="30" w:before="30"/>
              <w:jc w:val="left"/>
            </w:pPr>
            <w:r>
              <w:rPr>
                <w:rFonts w:ascii="Aptos" w:hAnsi="Aptos"/>
                <w:sz w:val="17"/>
              </w:rPr>
              <w:t xml:space="preserve">broader automated production validation precedent</w:t>
            </w:r>
          </w:p>
        </w:tc>
      </w:tr>
      <w:tr>
        <w:tc>
          <w:tcPr>
            <w:vAlign w:val="center"/>
          </w:tcPr>
          <w:p>
            <w:pPr>
              <w:pStyle w:val="Compact"/>
              <w:spacing w:after="30" w:before="30"/>
              <w:jc w:val="left"/>
            </w:pPr>
            <w:r>
              <w:rPr>
                <w:rFonts w:ascii="Aptos" w:hAnsi="Aptos"/>
                <w:sz w:val="17"/>
              </w:rPr>
              <w:t xml:space="preserve">DNEG Integrated QC</w:t>
            </w:r>
          </w:p>
        </w:tc>
        <w:tc>
          <w:tcPr>
            <w:vAlign w:val="center"/>
          </w:tcPr>
          <w:p>
            <w:pPr>
              <w:pStyle w:val="Compact"/>
              <w:spacing w:after="30" w:before="30"/>
              <w:jc w:val="left"/>
            </w:pPr>
            <w:r>
              <w:rPr>
                <w:rFonts w:ascii="Aptos" w:hAnsi="Aptos"/>
                <w:sz w:val="17"/>
              </w:rPr>
              <w:t xml:space="preserve">production-wide QC</w:t>
            </w:r>
          </w:p>
        </w:tc>
        <w:tc>
          <w:tcPr>
            <w:vAlign w:val="center"/>
          </w:tcPr>
          <w:p>
            <w:pPr>
              <w:pStyle w:val="Compact"/>
              <w:spacing w:after="30" w:before="30"/>
              <w:jc w:val="left"/>
            </w:pPr>
            <w:r>
              <w:rPr>
                <w:rFonts w:ascii="Aptos" w:hAnsi="Aptos"/>
                <w:sz w:val="17"/>
              </w:rPr>
              <w:t xml:space="preserve">broader/scaled QC precedent</w:t>
            </w:r>
          </w:p>
        </w:tc>
      </w:tr>
      <w:tr>
        <w:tc>
          <w:tcPr>
            <w:vAlign w:val="center"/>
          </w:tcPr>
          <w:p>
            <w:pPr>
              <w:pStyle w:val="Compact"/>
              <w:spacing w:after="30" w:before="30"/>
              <w:jc w:val="left"/>
            </w:pPr>
            <w:r>
              <w:rPr>
                <w:rFonts w:ascii="Aptos" w:hAnsi="Aptos"/>
                <w:sz w:val="17"/>
              </w:rPr>
              <w:t xml:space="preserve">Pearsall et al. 2026</w:t>
            </w:r>
          </w:p>
        </w:tc>
        <w:tc>
          <w:tcPr>
            <w:vAlign w:val="center"/>
          </w:tcPr>
          <w:p>
            <w:pPr>
              <w:pStyle w:val="Compact"/>
              <w:spacing w:after="30" w:before="30"/>
              <w:jc w:val="left"/>
            </w:pPr>
            <w:r>
              <w:rPr>
                <w:rFonts w:ascii="Aptos" w:hAnsi="Aptos"/>
                <w:sz w:val="17"/>
              </w:rPr>
              <w:t xml:space="preserve">structured QC architecture</w:t>
            </w:r>
          </w:p>
        </w:tc>
        <w:tc>
          <w:tcPr>
            <w:vAlign w:val="center"/>
          </w:tcPr>
          <w:p>
            <w:pPr>
              <w:pStyle w:val="Compact"/>
              <w:spacing w:after="30" w:before="30"/>
              <w:jc w:val="left"/>
            </w:pPr>
            <w:r>
              <w:rPr>
                <w:rFonts w:ascii="Aptos" w:hAnsi="Aptos"/>
                <w:sz w:val="17"/>
              </w:rPr>
              <w:t xml:space="preserve">contemporary evidence for configurable/systematic QC</w:t>
            </w:r>
          </w:p>
        </w:tc>
      </w:tr>
      <w:tr>
        <w:tc>
          <w:tcPr>
            <w:vAlign w:val="center"/>
          </w:tcPr>
          <w:p>
            <w:pPr>
              <w:pStyle w:val="Compact"/>
              <w:spacing w:after="30" w:before="30"/>
              <w:jc w:val="left"/>
            </w:pPr>
            <w:r>
              <w:rPr>
                <w:rFonts w:ascii="Aptos" w:hAnsi="Aptos"/>
                <w:sz w:val="17"/>
              </w:rPr>
              <w:t xml:space="preserve">Gaffer</w:t>
            </w:r>
          </w:p>
        </w:tc>
        <w:tc>
          <w:tcPr>
            <w:vAlign w:val="center"/>
          </w:tcPr>
          <w:p>
            <w:pPr>
              <w:pStyle w:val="Compact"/>
              <w:spacing w:after="30" w:before="30"/>
              <w:jc w:val="left"/>
            </w:pPr>
            <w:r>
              <w:rPr>
                <w:rFonts w:ascii="Aptos" w:hAnsi="Aptos"/>
                <w:sz w:val="17"/>
              </w:rPr>
              <w:t xml:space="preserve">reusable VFX computation framework + UI</w:t>
            </w:r>
          </w:p>
        </w:tc>
        <w:tc>
          <w:tcPr>
            <w:vAlign w:val="center"/>
          </w:tcPr>
          <w:p>
            <w:pPr>
              <w:pStyle w:val="Compact"/>
              <w:spacing w:after="30" w:before="30"/>
              <w:jc w:val="left"/>
            </w:pPr>
            <w:r>
              <w:rPr>
                <w:rFonts w:ascii="Aptos" w:hAnsi="Aptos"/>
                <w:sz w:val="17"/>
              </w:rPr>
              <w:t xml:space="preserve">architecture context, not functional competitor</w:t>
            </w:r>
          </w:p>
        </w:tc>
      </w:tr>
      <w:tr>
        <w:tc>
          <w:tcPr>
            <w:vAlign w:val="center"/>
          </w:tcPr>
          <w:p>
            <w:pPr>
              <w:pStyle w:val="Compact"/>
              <w:spacing w:after="30" w:before="30"/>
              <w:jc w:val="left"/>
            </w:pPr>
            <w:r>
              <w:rPr>
                <w:rFonts w:ascii="Aptos" w:hAnsi="Aptos"/>
                <w:sz w:val="17"/>
              </w:rPr>
              <w:t xml:space="preserve">Nuke</w:t>
            </w:r>
          </w:p>
        </w:tc>
        <w:tc>
          <w:tcPr>
            <w:vAlign w:val="center"/>
          </w:tcPr>
          <w:p>
            <w:pPr>
              <w:pStyle w:val="Compact"/>
              <w:spacing w:after="30" w:before="30"/>
              <w:jc w:val="left"/>
            </w:pPr>
            <w:r>
              <w:rPr>
                <w:rFonts w:ascii="Aptos" w:hAnsi="Aptos"/>
                <w:sz w:val="17"/>
              </w:rPr>
              <w:t xml:space="preserve">downstream compositing of channels/AOVs</w:t>
            </w:r>
          </w:p>
        </w:tc>
        <w:tc>
          <w:tcPr>
            <w:vAlign w:val="center"/>
          </w:tcPr>
          <w:p>
            <w:pPr>
              <w:pStyle w:val="Compact"/>
              <w:spacing w:after="30" w:before="30"/>
              <w:jc w:val="left"/>
            </w:pPr>
            <w:r>
              <w:rPr>
                <w:rFonts w:ascii="Aptos" w:hAnsi="Aptos"/>
                <w:sz w:val="17"/>
              </w:rPr>
              <w:t xml:space="preserve">target workflow context, not preflight validator</w:t>
            </w:r>
          </w:p>
        </w:tc>
      </w:tr>
      <w:tr>
        <w:tc>
          <w:tcPr>
            <w:vAlign w:val="center"/>
          </w:tcPr>
          <w:p>
            <w:pPr>
              <w:pStyle w:val="Compact"/>
              <w:spacing w:after="30" w:before="30"/>
              <w:jc w:val="left"/>
            </w:pPr>
            <w:r>
              <w:rPr>
                <w:rFonts w:ascii="Aptos" w:hAnsi="Aptos"/>
                <w:sz w:val="17"/>
              </w:rPr>
              <w:t xml:space="preserve">Arnold</w:t>
            </w:r>
          </w:p>
        </w:tc>
        <w:tc>
          <w:tcPr>
            <w:vAlign w:val="center"/>
          </w:tcPr>
          <w:p>
            <w:pPr>
              <w:pStyle w:val="Compact"/>
              <w:spacing w:after="30" w:before="30"/>
              <w:jc w:val="left"/>
            </w:pPr>
            <w:r>
              <w:rPr>
                <w:rFonts w:ascii="Aptos" w:hAnsi="Aptos"/>
                <w:sz w:val="17"/>
              </w:rPr>
              <w:t xml:space="preserve">renderer producing AOV/EXR data</w:t>
            </w:r>
          </w:p>
        </w:tc>
        <w:tc>
          <w:tcPr>
            <w:vAlign w:val="center"/>
          </w:tcPr>
          <w:p>
            <w:pPr>
              <w:pStyle w:val="Compact"/>
              <w:spacing w:after="30" w:before="30"/>
              <w:jc w:val="left"/>
            </w:pPr>
            <w:r>
              <w:rPr>
                <w:rFonts w:ascii="Aptos" w:hAnsi="Aptos"/>
                <w:sz w:val="17"/>
              </w:rPr>
              <w:t xml:space="preserve">upstream source context</w:t>
            </w:r>
          </w:p>
        </w:tc>
      </w:tr>
    </w:tbl>
    <w:bookmarkEnd w:id="127"/>
    <w:bookmarkStart w:id="128" w:name="research-gap-and-academic-positioning"/>
    <w:p>
      <w:pPr>
        <w:pStyle w:val="Heading1"/>
        <w:keepNext/>
        <w:keepLines/>
      </w:pPr>
      <w:r>
        <w:t xml:space="preserve">23. Research gap and academic positioning</w:t>
      </w:r>
    </w:p>
    <w:p>
      <w:pPr>
        <w:pStyle w:val="FirstParagraph"/>
      </w:pPr>
      <w:r>
        <w:t xml:space="preserve">Avoid claims such as:</w:t>
      </w:r>
    </w:p>
    <w:p>
      <w:pPr>
        <w:pStyle w:val="Compact"/>
        <w:numPr>
          <w:ilvl w:val="0"/>
          <w:numId w:val="1031"/>
        </w:numPr>
      </w:pPr>
      <w:r>
        <w:t xml:space="preserve">“</w:t>
      </w:r>
      <w:r>
        <w:t xml:space="preserve">No similar tools exist.</w:t>
      </w:r>
      <w:r>
        <w:t xml:space="preserve">”</w:t>
      </w:r>
    </w:p>
    <w:p>
      <w:pPr>
        <w:pStyle w:val="Compact"/>
        <w:numPr>
          <w:ilvl w:val="0"/>
          <w:numId w:val="1031"/>
        </w:numPr>
      </w:pPr>
      <w:r>
        <w:t xml:space="preserve">“</w:t>
      </w:r>
      <w:r>
        <w:t xml:space="preserve">AOVGuard is the first EXR validator.</w:t>
      </w:r>
      <w:r>
        <w:t xml:space="preserve">”</w:t>
      </w:r>
    </w:p>
    <w:p>
      <w:pPr>
        <w:pStyle w:val="Compact"/>
        <w:numPr>
          <w:ilvl w:val="0"/>
          <w:numId w:val="1031"/>
        </w:numPr>
      </w:pPr>
      <w:r>
        <w:t xml:space="preserve">“</w:t>
      </w:r>
      <w:r>
        <w:t xml:space="preserve">AOVGuard invented automatic AOV checking.</w:t>
      </w:r>
      <w:r>
        <w:t xml:space="preserve">”</w:t>
      </w:r>
    </w:p>
    <w:p>
      <w:pPr>
        <w:pStyle w:val="FirstParagraph"/>
      </w:pPr>
      <w:r>
        <w:t xml:space="preserve">A more defensible gap is:</w:t>
      </w:r>
    </w:p>
    <w:p>
      <w:pPr>
        <w:pStyle w:val="BlockText"/>
      </w:pPr>
      <w:r>
        <w:t xml:space="preserve">Existing technologies address individual parts of the problem space: OpenEXR provides structural utilities, OpenImageIO provides general-purpose image analysis, production research has addressed AOV management, and VFX pipeline frameworks support automated content validation. AOVGuard investigates how structural EXR inspection, AOV-aware metrics, configurable rules, sequence checks and reproducible reporting can be integrated into a focused validation prototype for rendered VFX outputs.</w:t>
      </w:r>
    </w:p>
    <w:p>
      <w:pPr>
        <w:pStyle w:val="FirstParagraph"/>
      </w:pPr>
      <w:r>
        <w:t xml:space="preserve">This framing makes the contribution an</w:t>
      </w:r>
      <w:r>
        <w:t xml:space="preserve"> </w:t>
      </w:r>
      <w:r>
        <w:rPr>
          <w:b/>
          <w:bCs/>
        </w:rPr>
        <w:t xml:space="preserve">integration and evaluation problem</w:t>
      </w:r>
      <w:r>
        <w:t xml:space="preserve">, which matches the code and available evidence.</w:t>
      </w:r>
    </w:p>
    <w:bookmarkEnd w:id="128"/>
    <w:bookmarkStart w:id="132" w:name="recommended-research-questions"/>
    <w:p>
      <w:pPr>
        <w:pStyle w:val="Heading1"/>
        <w:keepNext/>
        <w:keepLines/>
      </w:pPr>
      <w:r>
        <w:t xml:space="preserve">24. Recommended research questions</w:t>
      </w:r>
    </w:p>
    <w:bookmarkStart w:id="129" w:name="X99738b7010b8c7a3fca636e67384b247d6cc9e8"/>
    <w:p>
      <w:pPr>
        <w:pStyle w:val="Heading2"/>
        <w:keepNext/>
        <w:keepLines/>
      </w:pPr>
      <w:r>
        <w:t xml:space="preserve">RQ1 - structural inspection and validation</w:t>
      </w:r>
    </w:p>
    <w:p>
      <w:pPr>
        <w:pStyle w:val="FirstParagraph"/>
      </w:pPr>
      <w:r>
        <w:t xml:space="preserve">Current/earlier wording that uses</w:t>
      </w:r>
      <w:r>
        <w:t xml:space="preserve"> </w:t>
      </w:r>
      <w:r>
        <w:t xml:space="preserve">“</w:t>
      </w:r>
      <w:r>
        <w:t xml:space="preserve">improve</w:t>
      </w:r>
      <w:r>
        <w:t xml:space="preserve">”</w:t>
      </w:r>
      <w:r>
        <w:t xml:space="preserve"> </w:t>
      </w:r>
      <w:r>
        <w:t xml:space="preserve">risks implying a measured before/after consistency baseline.</w:t>
      </w:r>
    </w:p>
    <w:p>
      <w:pPr>
        <w:pStyle w:val="BodyText"/>
      </w:pPr>
      <w:r>
        <w:t xml:space="preserve">Recommended:</w:t>
      </w:r>
    </w:p>
    <w:p>
      <w:pPr>
        <w:pStyle w:val="BlockText"/>
      </w:pPr>
      <w:r>
        <w:rPr>
          <w:b/>
          <w:bCs/>
        </w:rPr>
        <w:t xml:space="preserve">How can automatic OpenEXR structure inspection and configurable validation rules support consistent and reproducible AOV validation in a VFX pipeline prototype?</w:t>
      </w:r>
    </w:p>
    <w:p>
      <w:pPr>
        <w:pStyle w:val="FirstParagraph"/>
      </w:pPr>
      <w:r>
        <w:t xml:space="preserve">Evidence available:</w:t>
      </w:r>
    </w:p>
    <w:p>
      <w:pPr>
        <w:pStyle w:val="Compact"/>
        <w:numPr>
          <w:ilvl w:val="0"/>
          <w:numId w:val="1032"/>
        </w:numPr>
      </w:pPr>
      <w:r>
        <w:t xml:space="preserve">automatic inspector;</w:t>
      </w:r>
    </w:p>
    <w:p>
      <w:pPr>
        <w:pStyle w:val="Compact"/>
        <w:numPr>
          <w:ilvl w:val="0"/>
          <w:numId w:val="1032"/>
        </w:numPr>
      </w:pPr>
      <w:r>
        <w:rPr>
          <w:rStyle w:val="VerbatimChar"/>
        </w:rPr>
        <w:t xml:space="preserve">AOVDescriptor</w:t>
      </w:r>
      <w:r>
        <w:t xml:space="preserve"> </w:t>
      </w:r>
      <w:r>
        <w:t xml:space="preserve">model;</w:t>
      </w:r>
    </w:p>
    <w:p>
      <w:pPr>
        <w:pStyle w:val="Compact"/>
        <w:numPr>
          <w:ilvl w:val="0"/>
          <w:numId w:val="1032"/>
        </w:numPr>
      </w:pPr>
      <w:r>
        <w:t xml:space="preserve">shared rule engine;</w:t>
      </w:r>
    </w:p>
    <w:p>
      <w:pPr>
        <w:pStyle w:val="Compact"/>
        <w:numPr>
          <w:ilvl w:val="0"/>
          <w:numId w:val="1032"/>
        </w:numPr>
      </w:pPr>
      <w:r>
        <w:t xml:space="preserve">JSON/HTML canonical reporting;</w:t>
      </w:r>
    </w:p>
    <w:p>
      <w:pPr>
        <w:pStyle w:val="Compact"/>
        <w:numPr>
          <w:ilvl w:val="0"/>
          <w:numId w:val="1032"/>
        </w:numPr>
      </w:pPr>
      <w:r>
        <w:t xml:space="preserve">generated fixtures and tests.</w:t>
      </w:r>
    </w:p>
    <w:p>
      <w:pPr>
        <w:pStyle w:val="FirstParagraph"/>
      </w:pPr>
      <w:r>
        <w:t xml:space="preserve">Limitation:</w:t>
      </w:r>
    </w:p>
    <w:p>
      <w:pPr>
        <w:pStyle w:val="Compact"/>
        <w:numPr>
          <w:ilvl w:val="0"/>
          <w:numId w:val="1033"/>
        </w:numPr>
      </w:pPr>
      <w:r>
        <w:t xml:space="preserve">consistency/reproducibility are supported architecturally, not measured against a large production baseline.</w:t>
      </w:r>
    </w:p>
    <w:bookmarkEnd w:id="129"/>
    <w:bookmarkStart w:id="130" w:name="rq2---processing-strategy"/>
    <w:p>
      <w:pPr>
        <w:pStyle w:val="Heading2"/>
        <w:keepNext/>
        <w:keepLines/>
      </w:pPr>
      <w:r>
        <w:t xml:space="preserve">RQ2 - processing strategy</w:t>
      </w:r>
    </w:p>
    <w:p>
      <w:pPr>
        <w:pStyle w:val="FirstParagraph"/>
      </w:pPr>
      <w:r>
        <w:t xml:space="preserve">Recommended to retain essentially as is:</w:t>
      </w:r>
    </w:p>
    <w:p>
      <w:pPr>
        <w:pStyle w:val="BlockText"/>
      </w:pPr>
      <w:r>
        <w:rPr>
          <w:b/>
          <w:bCs/>
        </w:rPr>
        <w:t xml:space="preserve">How does frame-first EXR processing compare with AOV-first processing in application-level reads, execution time and memory use?</w:t>
      </w:r>
    </w:p>
    <w:p>
      <w:pPr>
        <w:pStyle w:val="FirstParagraph"/>
      </w:pPr>
      <w:r>
        <w:t xml:space="preserve">Evidence available:</w:t>
      </w:r>
    </w:p>
    <w:p>
      <w:pPr>
        <w:pStyle w:val="Compact"/>
        <w:numPr>
          <w:ilvl w:val="0"/>
          <w:numId w:val="1034"/>
        </w:numPr>
      </w:pPr>
      <w:r>
        <w:t xml:space="preserve">benchmark JSON;</w:t>
      </w:r>
    </w:p>
    <w:p>
      <w:pPr>
        <w:pStyle w:val="Compact"/>
        <w:numPr>
          <w:ilvl w:val="0"/>
          <w:numId w:val="1034"/>
        </w:numPr>
      </w:pPr>
      <w:r>
        <w:t xml:space="preserve">identical recorded checksum;</w:t>
      </w:r>
    </w:p>
    <w:p>
      <w:pPr>
        <w:pStyle w:val="Compact"/>
        <w:numPr>
          <w:ilvl w:val="0"/>
          <w:numId w:val="1034"/>
        </w:numPr>
      </w:pPr>
      <w:r>
        <w:t xml:space="preserve">reads/time/tracemalloc measurements.</w:t>
      </w:r>
    </w:p>
    <w:p>
      <w:pPr>
        <w:pStyle w:val="FirstParagraph"/>
      </w:pPr>
      <w:r>
        <w:t xml:space="preserve">This is the strongest directly experimental RQ.</w:t>
      </w:r>
    </w:p>
    <w:bookmarkEnd w:id="130"/>
    <w:bookmarkStart w:id="131" w:name="rq3---shared-backend"/>
    <w:p>
      <w:pPr>
        <w:pStyle w:val="Heading2"/>
        <w:keepNext/>
        <w:keepLines/>
      </w:pPr>
      <w:r>
        <w:t xml:space="preserve">RQ3 - shared backend</w:t>
      </w:r>
    </w:p>
    <w:p>
      <w:pPr>
        <w:pStyle w:val="FirstParagraph"/>
      </w:pPr>
      <w:r>
        <w:t xml:space="preserve">Recommended:</w:t>
      </w:r>
    </w:p>
    <w:p>
      <w:pPr>
        <w:pStyle w:val="BlockText"/>
      </w:pPr>
      <w:r>
        <w:rPr>
          <w:b/>
          <w:bCs/>
        </w:rPr>
        <w:t xml:space="preserve">To what extent can a shared analysis backend maintain consistent validation logic across CLI and GUI workflows?</w:t>
      </w:r>
    </w:p>
    <w:p>
      <w:pPr>
        <w:pStyle w:val="FirstParagraph"/>
      </w:pPr>
      <w:r>
        <w:t xml:space="preserve">Evidence:</w:t>
      </w:r>
    </w:p>
    <w:p>
      <w:pPr>
        <w:pStyle w:val="Compact"/>
        <w:numPr>
          <w:ilvl w:val="0"/>
          <w:numId w:val="1035"/>
        </w:numPr>
      </w:pPr>
      <w:r>
        <w:t xml:space="preserve">both paths call the same</w:t>
      </w:r>
      <w:r>
        <w:t xml:space="preserve"> </w:t>
      </w:r>
      <w:r>
        <w:rPr>
          <w:rStyle w:val="VerbatimChar"/>
        </w:rPr>
        <w:t xml:space="preserve">analyze()</w:t>
      </w:r>
      <w:r>
        <w:t xml:space="preserve"> </w:t>
      </w:r>
      <w:r>
        <w:t xml:space="preserve">backend and use</w:t>
      </w:r>
      <w:r>
        <w:t xml:space="preserve"> </w:t>
      </w:r>
      <w:r>
        <w:rPr>
          <w:rStyle w:val="VerbatimChar"/>
        </w:rPr>
        <w:t xml:space="preserve">AnalysisReport</w:t>
      </w:r>
      <w:r>
        <w:t xml:space="preserve">.</w:t>
      </w:r>
    </w:p>
    <w:p>
      <w:pPr>
        <w:pStyle w:val="FirstParagraph"/>
      </w:pPr>
      <w:r>
        <w:t xml:space="preserve">Potential strengthening:</w:t>
      </w:r>
    </w:p>
    <w:p>
      <w:pPr>
        <w:pStyle w:val="Compact"/>
        <w:numPr>
          <w:ilvl w:val="0"/>
          <w:numId w:val="1036"/>
        </w:numPr>
      </w:pPr>
      <w:r>
        <w:t>one explicit CLI/GUI canonical report equivalence integration test (completed on 11 August 2026).</w:t>
      </w:r>
    </w:p>
    <w:bookmarkEnd w:id="131"/>
    <w:bookmarkEnd w:id="132"/>
    <w:bookmarkStart w:id="133" w:name="Xd4e2517329997e51d016525d34812aa1c2305fd"/>
    <w:p>
      <w:pPr>
        <w:pStyle w:val="Heading1"/>
        <w:keepNext/>
        <w:keepLines/>
      </w:pPr>
      <w:r>
        <w:t xml:space="preserve">25. Threats to validity and limitations for the dissertation</w:t>
      </w:r>
    </w:p>
    <w:p>
      <w:pPr>
        <w:pStyle w:val="FirstParagraph"/>
      </w:pPr>
      <w:r>
        <w:t xml:space="preserve">These limitations should be analysed, not hidden.</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DCE6F1"/>
          </w:tcPr>
          <w:p>
            <w:pPr>
              <w:pStyle w:val="Compact"/>
              <w:spacing w:after="30" w:before="30"/>
              <w:jc w:val="left"/>
            </w:pPr>
            <w:r>
              <w:rPr>
                <w:rFonts w:ascii="Aptos" w:hAnsi="Aptos"/>
                <w:b/>
                <w:color w:val="17365D"/>
                <w:sz w:val="17"/>
              </w:rPr>
              <w:t xml:space="preserve">Limitation</w:t>
            </w:r>
          </w:p>
        </w:tc>
        <w:tc>
          <w:tcPr>
            <w:vAlign w:val="center"/>
            <w:shd w:fill="DCE6F1"/>
          </w:tcPr>
          <w:p>
            <w:pPr>
              <w:pStyle w:val="Compact"/>
              <w:spacing w:after="30" w:before="30"/>
              <w:jc w:val="left"/>
            </w:pPr>
            <w:r>
              <w:rPr>
                <w:rFonts w:ascii="Aptos" w:hAnsi="Aptos"/>
                <w:b/>
                <w:color w:val="17365D"/>
                <w:sz w:val="17"/>
              </w:rPr>
              <w:t xml:space="preserve">Consequence</w:t>
            </w:r>
          </w:p>
        </w:tc>
      </w:tr>
      <w:tr>
        <w:tc>
          <w:tcPr>
            <w:vAlign w:val="center"/>
          </w:tcPr>
          <w:p>
            <w:pPr>
              <w:pStyle w:val="Compact"/>
              <w:spacing w:after="30" w:before="30"/>
              <w:jc w:val="left"/>
            </w:pPr>
            <w:r>
              <w:rPr>
                <w:rFonts w:ascii="Aptos" w:hAnsi="Aptos"/>
                <w:sz w:val="17"/>
              </w:rPr>
              <w:t xml:space="preserve">Heuristic AOV categorisation</w:t>
            </w:r>
          </w:p>
        </w:tc>
        <w:tc>
          <w:tcPr>
            <w:vAlign w:val="center"/>
          </w:tcPr>
          <w:p>
            <w:pPr>
              <w:pStyle w:val="Compact"/>
              <w:spacing w:after="30" w:before="30"/>
              <w:jc w:val="left"/>
            </w:pPr>
            <w:r>
              <w:rPr>
                <w:rFonts w:ascii="Aptos" w:hAnsi="Aptos"/>
                <w:sz w:val="17"/>
              </w:rPr>
              <w:t xml:space="preserve">cannot guarantee semantic type for arbitrary studio naming</w:t>
            </w:r>
          </w:p>
        </w:tc>
      </w:tr>
      <w:tr>
        <w:tc>
          <w:tcPr>
            <w:vAlign w:val="center"/>
          </w:tcPr>
          <w:p>
            <w:pPr>
              <w:pStyle w:val="Compact"/>
              <w:spacing w:after="30" w:before="30"/>
              <w:jc w:val="left"/>
            </w:pPr>
            <w:r>
              <w:rPr>
                <w:rFonts w:ascii="Aptos" w:hAnsi="Aptos"/>
                <w:sz w:val="17"/>
              </w:rPr>
              <w:t xml:space="preserve">Pixel metrics currently centred on colour AOVs</w:t>
            </w:r>
          </w:p>
        </w:tc>
        <w:tc>
          <w:tcPr>
            <w:vAlign w:val="center"/>
          </w:tcPr>
          <w:p>
            <w:pPr>
              <w:pStyle w:val="Compact"/>
              <w:spacing w:after="30" w:before="30"/>
              <w:jc w:val="left"/>
            </w:pPr>
            <w:r>
              <w:rPr>
                <w:rFonts w:ascii="Aptos" w:hAnsi="Aptos"/>
                <w:sz w:val="17"/>
              </w:rPr>
              <w:t xml:space="preserve">Z/N/P require specialised technical validators</w:t>
            </w:r>
          </w:p>
        </w:tc>
      </w:tr>
      <w:tr>
        <w:tc>
          <w:tcPr>
            <w:vAlign w:val="center"/>
          </w:tcPr>
          <w:p>
            <w:pPr>
              <w:pStyle w:val="Compact"/>
              <w:spacing w:after="30" w:before="30"/>
              <w:jc w:val="left"/>
            </w:pPr>
            <w:r>
              <w:rPr>
                <w:rFonts w:ascii="Aptos" w:hAnsi="Aptos"/>
                <w:sz w:val="17"/>
              </w:rPr>
              <w:t xml:space="preserve">Rec.709/601 weights applied without colour-space inference</w:t>
            </w:r>
          </w:p>
        </w:tc>
        <w:tc>
          <w:tcPr>
            <w:vAlign w:val="center"/>
          </w:tcPr>
          <w:p>
            <w:pPr>
              <w:pStyle w:val="Compact"/>
              <w:spacing w:after="30" w:before="30"/>
              <w:jc w:val="left"/>
            </w:pPr>
            <w:r>
              <w:rPr>
                <w:rFonts w:ascii="Aptos" w:hAnsi="Aptos"/>
                <w:sz w:val="17"/>
              </w:rPr>
              <w:t xml:space="preserve">weighted RGB metric is not universal photometric luminance</w:t>
            </w:r>
          </w:p>
        </w:tc>
      </w:tr>
      <w:tr>
        <w:tc>
          <w:tcPr>
            <w:vAlign w:val="center"/>
          </w:tcPr>
          <w:p>
            <w:pPr>
              <w:pStyle w:val="Compact"/>
              <w:spacing w:after="30" w:before="30"/>
              <w:jc w:val="left"/>
            </w:pPr>
            <w:r>
              <w:rPr>
                <w:rFonts w:ascii="Aptos" w:hAnsi="Aptos"/>
                <w:sz w:val="17"/>
              </w:rPr>
              <w:t xml:space="preserve">Default rule thresholds not production-calibrated</w:t>
            </w:r>
          </w:p>
        </w:tc>
        <w:tc>
          <w:tcPr>
            <w:vAlign w:val="center"/>
          </w:tcPr>
          <w:p>
            <w:pPr>
              <w:pStyle w:val="Compact"/>
              <w:spacing w:after="30" w:before="30"/>
              <w:jc w:val="left"/>
            </w:pPr>
            <w:r>
              <w:rPr>
                <w:rFonts w:ascii="Aptos" w:hAnsi="Aptos"/>
                <w:sz w:val="17"/>
              </w:rPr>
              <w:t xml:space="preserve">false positive/negative rates are unknown outside fixtures</w:t>
            </w:r>
          </w:p>
        </w:tc>
      </w:tr>
      <w:tr>
        <w:tc>
          <w:tcPr>
            <w:vAlign w:val="center"/>
          </w:tcPr>
          <w:p>
            <w:pPr>
              <w:pStyle w:val="Compact"/>
              <w:spacing w:after="30" w:before="30"/>
              <w:jc w:val="left"/>
            </w:pPr>
            <w:r>
              <w:rPr>
                <w:rFonts w:ascii="Aptos" w:hAnsi="Aptos"/>
                <w:sz w:val="17"/>
              </w:rPr>
              <w:t xml:space="preserve">Small benchmark fixture</w:t>
            </w:r>
          </w:p>
        </w:tc>
        <w:tc>
          <w:tcPr>
            <w:vAlign w:val="center"/>
          </w:tcPr>
          <w:p>
            <w:pPr>
              <w:pStyle w:val="Compact"/>
              <w:spacing w:after="30" w:before="30"/>
              <w:jc w:val="left"/>
            </w:pPr>
            <w:r>
              <w:rPr>
                <w:rFonts w:ascii="Aptos" w:hAnsi="Aptos"/>
                <w:sz w:val="17"/>
              </w:rPr>
              <w:t xml:space="preserve">limited external validity</w:t>
            </w:r>
          </w:p>
        </w:tc>
      </w:tr>
      <w:tr>
        <w:tc>
          <w:tcPr>
            <w:vAlign w:val="center"/>
          </w:tcPr>
          <w:p>
            <w:pPr>
              <w:pStyle w:val="Compact"/>
              <w:spacing w:after="30" w:before="30"/>
              <w:jc w:val="left"/>
            </w:pPr>
            <w:r>
              <w:rPr>
                <w:rFonts w:ascii="Aptos" w:hAnsi="Aptos"/>
                <w:sz w:val="17"/>
              </w:rPr>
              <w:t xml:space="preserve">Three benchmark repetitions</w:t>
            </w:r>
          </w:p>
        </w:tc>
        <w:tc>
          <w:tcPr>
            <w:vAlign w:val="center"/>
          </w:tcPr>
          <w:p>
            <w:pPr>
              <w:pStyle w:val="Compact"/>
              <w:spacing w:after="30" w:before="30"/>
              <w:jc w:val="left"/>
            </w:pPr>
            <w:r>
              <w:rPr>
                <w:rFonts w:ascii="Aptos" w:hAnsi="Aptos"/>
                <w:sz w:val="17"/>
              </w:rPr>
              <w:t xml:space="preserve">exploratory rather than comprehensive performance study</w:t>
            </w:r>
          </w:p>
        </w:tc>
      </w:tr>
      <w:tr>
        <w:tc>
          <w:tcPr>
            <w:vAlign w:val="center"/>
          </w:tcPr>
          <w:p>
            <w:pPr>
              <w:pStyle w:val="Compact"/>
              <w:spacing w:after="30" w:before="30"/>
              <w:jc w:val="left"/>
            </w:pPr>
            <w:r>
              <w:rPr>
                <w:rStyle w:val="VerbatimChar"/>
                <w:rFonts w:ascii="Aptos" w:hAnsi="Aptos"/>
                <w:sz w:val="17"/>
              </w:rPr>
              <w:t xml:space="preserve">tracemalloc</w:t>
            </w:r>
            <w:r>
              <w:rPr>
                <w:rFonts w:ascii="Aptos" w:hAnsi="Aptos"/>
                <w:sz w:val="17"/>
              </w:rPr>
              <w:t xml:space="preserve"> </w:t>
            </w:r>
            <w:r>
              <w:rPr>
                <w:rFonts w:ascii="Aptos" w:hAnsi="Aptos"/>
                <w:sz w:val="17"/>
              </w:rPr>
              <w:t xml:space="preserve">excludes native allocations</w:t>
            </w:r>
          </w:p>
        </w:tc>
        <w:tc>
          <w:tcPr>
            <w:vAlign w:val="center"/>
          </w:tcPr>
          <w:p>
            <w:pPr>
              <w:pStyle w:val="Compact"/>
              <w:spacing w:after="30" w:before="30"/>
              <w:jc w:val="left"/>
            </w:pPr>
            <w:r>
              <w:rPr>
                <w:rFonts w:ascii="Aptos" w:hAnsi="Aptos"/>
                <w:sz w:val="17"/>
              </w:rPr>
              <w:t xml:space="preserve">total memory behaviour is not fully characterised</w:t>
            </w:r>
          </w:p>
        </w:tc>
      </w:tr>
      <w:tr>
        <w:tc>
          <w:tcPr>
            <w:vAlign w:val="center"/>
          </w:tcPr>
          <w:p>
            <w:pPr>
              <w:pStyle w:val="Compact"/>
              <w:spacing w:after="30" w:before="30"/>
              <w:jc w:val="left"/>
            </w:pPr>
            <w:r>
              <w:rPr>
                <w:rFonts w:ascii="Aptos" w:hAnsi="Aptos"/>
                <w:sz w:val="17"/>
              </w:rPr>
              <w:t xml:space="preserve">Limited real EXR sample set</w:t>
            </w:r>
          </w:p>
        </w:tc>
        <w:tc>
          <w:tcPr>
            <w:vAlign w:val="center"/>
          </w:tcPr>
          <w:p>
            <w:pPr>
              <w:pStyle w:val="Compact"/>
              <w:spacing w:after="30" w:before="30"/>
              <w:jc w:val="left"/>
            </w:pPr>
            <w:r>
              <w:rPr>
                <w:rFonts w:ascii="Aptos" w:hAnsi="Aptos"/>
                <w:sz w:val="17"/>
              </w:rPr>
              <w:t xml:space="preserve">cannot generalise across renderers/studios</w:t>
            </w:r>
          </w:p>
        </w:tc>
      </w:tr>
      <w:tr>
        <w:tc>
          <w:tcPr>
            <w:vAlign w:val="center"/>
          </w:tcPr>
          <w:p>
            <w:pPr>
              <w:pStyle w:val="Compact"/>
              <w:spacing w:after="30" w:before="30"/>
              <w:jc w:val="left"/>
            </w:pPr>
            <w:r>
              <w:rPr>
                <w:rFonts w:ascii="Aptos" w:hAnsi="Aptos"/>
                <w:sz w:val="17"/>
              </w:rPr>
              <w:t xml:space="preserve">No formal usability study</w:t>
            </w:r>
          </w:p>
        </w:tc>
        <w:tc>
          <w:tcPr>
            <w:vAlign w:val="center"/>
          </w:tcPr>
          <w:p>
            <w:pPr>
              <w:pStyle w:val="Compact"/>
              <w:spacing w:after="30" w:before="30"/>
              <w:jc w:val="left"/>
            </w:pPr>
            <w:r>
              <w:rPr>
                <w:rFonts w:ascii="Aptos" w:hAnsi="Aptos"/>
                <w:sz w:val="17"/>
              </w:rPr>
              <w:t xml:space="preserve">no evidence-based usability improvement claims</w:t>
            </w:r>
          </w:p>
        </w:tc>
      </w:tr>
      <w:tr>
        <w:tc>
          <w:tcPr>
            <w:vAlign w:val="center"/>
          </w:tcPr>
          <w:p>
            <w:pPr>
              <w:pStyle w:val="Compact"/>
              <w:spacing w:after="30" w:before="30"/>
              <w:jc w:val="left"/>
            </w:pPr>
            <w:r>
              <w:rPr>
                <w:rFonts w:ascii="Aptos" w:hAnsi="Aptos"/>
                <w:sz w:val="17"/>
              </w:rPr>
              <w:t xml:space="preserve">Deep EXR unsupported</w:t>
            </w:r>
          </w:p>
        </w:tc>
        <w:tc>
          <w:tcPr>
            <w:vAlign w:val="center"/>
          </w:tcPr>
          <w:p>
            <w:pPr>
              <w:pStyle w:val="Compact"/>
              <w:spacing w:after="30" w:before="30"/>
              <w:jc w:val="left"/>
            </w:pPr>
            <w:r>
              <w:rPr>
                <w:rFonts w:ascii="Aptos" w:hAnsi="Aptos"/>
                <w:sz w:val="17"/>
              </w:rPr>
              <w:t xml:space="preserve">flat-image analysis does not cover deep compositing data</w:t>
            </w:r>
          </w:p>
        </w:tc>
      </w:tr>
      <w:tr>
        <w:tc>
          <w:tcPr>
            <w:vAlign w:val="center"/>
          </w:tcPr>
          <w:p>
            <w:pPr>
              <w:pStyle w:val="Compact"/>
              <w:spacing w:after="30" w:before="30"/>
              <w:jc w:val="left"/>
            </w:pPr>
            <w:r>
              <w:rPr>
                <w:rFonts w:ascii="Aptos" w:hAnsi="Aptos"/>
                <w:sz w:val="17"/>
              </w:rPr>
              <w:t xml:space="preserve">Full multipart unsupported</w:t>
            </w:r>
          </w:p>
        </w:tc>
        <w:tc>
          <w:tcPr>
            <w:vAlign w:val="center"/>
          </w:tcPr>
          <w:p>
            <w:pPr>
              <w:pStyle w:val="Compact"/>
              <w:spacing w:after="30" w:before="30"/>
              <w:jc w:val="left"/>
            </w:pPr>
            <w:r>
              <w:rPr>
                <w:rFonts w:ascii="Aptos" w:hAnsi="Aptos"/>
                <w:sz w:val="17"/>
              </w:rPr>
              <w:t xml:space="preserve">not all production EXR organisations are accepted</w:t>
            </w:r>
          </w:p>
        </w:tc>
      </w:tr>
      <w:tr>
        <w:tc>
          <w:tcPr>
            <w:vAlign w:val="center"/>
          </w:tcPr>
          <w:p>
            <w:pPr>
              <w:pStyle w:val="Compact"/>
              <w:spacing w:after="30" w:before="30"/>
              <w:jc w:val="left"/>
            </w:pPr>
            <w:r>
              <w:rPr>
                <w:rFonts w:ascii="Aptos" w:hAnsi="Aptos"/>
                <w:sz w:val="17"/>
              </w:rPr>
              <w:t xml:space="preserve">No DCC/render-farm integration</w:t>
            </w:r>
          </w:p>
        </w:tc>
        <w:tc>
          <w:tcPr>
            <w:vAlign w:val="center"/>
          </w:tcPr>
          <w:p>
            <w:pPr>
              <w:pStyle w:val="Compact"/>
              <w:spacing w:after="30" w:before="30"/>
              <w:jc w:val="left"/>
            </w:pPr>
            <w:r>
              <w:rPr>
                <w:rFonts w:ascii="Aptos" w:hAnsi="Aptos"/>
                <w:sz w:val="17"/>
              </w:rPr>
              <w:t xml:space="preserve">standalone prototype, not a deployed studio service</w:t>
            </w:r>
          </w:p>
        </w:tc>
      </w:tr>
      <w:tr>
        <w:tc>
          <w:tcPr>
            <w:vAlign w:val="center"/>
          </w:tcPr>
          <w:p>
            <w:pPr>
              <w:pStyle w:val="Compact"/>
              <w:spacing w:after="30" w:before="30"/>
              <w:jc w:val="left"/>
            </w:pPr>
            <w:r>
              <w:rPr>
                <w:rFonts w:ascii="Aptos" w:hAnsi="Aptos"/>
                <w:sz w:val="17"/>
              </w:rPr>
              <w:t xml:space="preserve">Python 3.11-3.12 target</w:t>
            </w:r>
          </w:p>
        </w:tc>
        <w:tc>
          <w:tcPr>
            <w:vAlign w:val="center"/>
          </w:tcPr>
          <w:p>
            <w:pPr>
              <w:pStyle w:val="Compact"/>
              <w:spacing w:after="30" w:before="30"/>
              <w:jc w:val="left"/>
            </w:pPr>
            <w:r>
              <w:rPr>
                <w:rFonts w:ascii="Aptos" w:hAnsi="Aptos"/>
                <w:sz w:val="17"/>
              </w:rPr>
              <w:t xml:space="preserve">not aligned with CY2026 Python 3.13 target</w:t>
            </w:r>
          </w:p>
        </w:tc>
      </w:tr>
      <w:tr>
        <w:tc>
          <w:tcPr>
            <w:vAlign w:val="center"/>
          </w:tcPr>
          <w:p>
            <w:pPr>
              <w:pStyle w:val="Compact"/>
              <w:spacing w:after="30" w:before="30"/>
              <w:jc w:val="left"/>
            </w:pPr>
            <w:r>
              <w:rPr>
                <w:rFonts w:ascii="Aptos" w:hAnsi="Aptos"/>
                <w:sz w:val="17"/>
              </w:rPr>
              <w:t xml:space="preserve">Sequence regex based on final numeric token</w:t>
            </w:r>
          </w:p>
        </w:tc>
        <w:tc>
          <w:tcPr>
            <w:vAlign w:val="center"/>
          </w:tcPr>
          <w:p>
            <w:pPr>
              <w:pStyle w:val="Compact"/>
              <w:spacing w:after="30" w:before="30"/>
              <w:jc w:val="left"/>
            </w:pPr>
            <w:r>
              <w:rPr>
                <w:rFonts w:ascii="Aptos" w:hAnsi="Aptos"/>
                <w:sz w:val="17"/>
              </w:rPr>
              <w:t xml:space="preserve">naming conventions may differ by production</w:t>
            </w:r>
          </w:p>
        </w:tc>
      </w:tr>
      <w:tr>
        <w:tc>
          <w:tcPr>
            <w:vAlign w:val="center"/>
          </w:tcPr>
          <w:p>
            <w:pPr>
              <w:pStyle w:val="Compact"/>
              <w:spacing w:after="30" w:before="30"/>
              <w:jc w:val="left"/>
            </w:pPr>
            <w:r>
              <w:rPr>
                <w:rFonts w:ascii="Aptos" w:hAnsi="Aptos"/>
                <w:sz w:val="17"/>
              </w:rPr>
              <w:t xml:space="preserve">No formal JSON Schema</w:t>
            </w:r>
          </w:p>
        </w:tc>
        <w:tc>
          <w:tcPr>
            <w:vAlign w:val="center"/>
          </w:tcPr>
          <w:p>
            <w:pPr>
              <w:pStyle w:val="Compact"/>
              <w:spacing w:after="30" w:before="30"/>
              <w:jc w:val="left"/>
            </w:pPr>
            <w:r>
              <w:rPr>
                <w:rFonts w:ascii="Aptos" w:hAnsi="Aptos"/>
                <w:sz w:val="17"/>
              </w:rPr>
              <w:t xml:space="preserve">schema is versioned but not externally validated by a schema definition</w:t>
            </w:r>
          </w:p>
        </w:tc>
      </w:tr>
      <w:tr>
        <w:tc>
          <w:tcPr>
            <w:vAlign w:val="center"/>
          </w:tcPr>
          <w:p>
            <w:pPr>
              <w:pStyle w:val="Compact"/>
              <w:spacing w:after="30" w:before="30"/>
              <w:jc w:val="left"/>
            </w:pPr>
            <w:r>
              <w:rPr>
                <w:rFonts w:ascii="Aptos" w:hAnsi="Aptos"/>
                <w:sz w:val="17"/>
              </w:rPr>
              <w:t xml:space="preserve">Shared backend equivalence not directly benchmarked/tested end-to-end</w:t>
            </w:r>
          </w:p>
        </w:tc>
        <w:tc>
          <w:tcPr>
            <w:vAlign w:val="center"/>
          </w:tcPr>
          <w:p>
            <w:pPr>
              <w:pStyle w:val="Compact"/>
              <w:spacing w:after="30" w:before="30"/>
              <w:jc w:val="left"/>
            </w:pPr>
            <w:r>
              <w:rPr>
                <w:rFonts w:ascii="Aptos" w:hAnsi="Aptos"/>
                <w:sz w:val="17"/>
              </w:rPr>
              <w:t xml:space="preserve">architecture supports consistency but a dedicated proof test would strengthen the claim</w:t>
            </w:r>
          </w:p>
        </w:tc>
      </w:tr>
    </w:tbl>
    <w:bookmarkEnd w:id="133"/>
    <w:bookmarkStart w:id="134" w:name="priority-work-before-submission"/>
    <w:p>
      <w:pPr>
        <w:pStyle w:val="Heading1"/>
        <w:keepNext/>
        <w:keepLines/>
      </w:pPr>
      <w:r>
        <w:t xml:space="preserve">26. Priority work before submission</w:t>
      </w:r>
    </w:p>
    <w:p>
      <w:pPr>
        <w:pStyle w:val="FirstParagraph"/>
      </w:pPr>
      <w:r>
        <w:t xml:space="preserve">Do</w:t>
      </w:r>
      <w:r>
        <w:t xml:space="preserve"> </w:t>
      </w:r>
      <w:r>
        <w:rPr>
          <w:b/>
          <w:bCs/>
        </w:rPr>
        <w:t xml:space="preserve">not</w:t>
      </w:r>
      <w:r>
        <w:t xml:space="preserve"> </w:t>
      </w:r>
      <w:r>
        <w:t xml:space="preserve">add large features before the dissertation/evaluation package is complete.</w:t>
      </w:r>
    </w:p>
    <w:p>
      <w:pPr>
        <w:pStyle w:val="BodyText"/>
      </w:pPr>
      <w:r>
        <w:t xml:space="preserve">Recommended priority:</w:t>
      </w:r>
    </w:p>
    <w:p>
      <w:pPr>
        <w:pStyle w:val="Compact"/>
        <w:numPr>
          <w:ilvl w:val="0"/>
          <w:numId w:val="1037"/>
        </w:numPr>
      </w:pPr>
      <w:r>
        <w:t xml:space="preserve">Run one final clean Python 3.12 test/coverage verification and preserve terminal/CI evidence.</w:t>
      </w:r>
    </w:p>
    <w:p>
      <w:pPr>
        <w:pStyle w:val="Compact"/>
        <w:numPr>
          <w:ilvl w:val="0"/>
          <w:numId w:val="1037"/>
        </w:numPr>
      </w:pPr>
      <w:r>
        <w:t xml:space="preserve">Make documentation dates and coverage numbers consistent with that final run.</w:t>
      </w:r>
    </w:p>
    <w:p>
      <w:pPr>
        <w:pStyle w:val="Compact"/>
        <w:numPr>
          <w:ilvl w:val="0"/>
          <w:numId w:val="1037"/>
        </w:numPr>
      </w:pPr>
      <w:r>
        <w:t xml:space="preserve">Correct outdated/overstated documentation:</w:t>
      </w:r>
    </w:p>
    <w:p>
      <w:pPr>
        <w:pStyle w:val="Compact"/>
        <w:numPr>
          <w:ilvl w:val="1"/>
          <w:numId w:val="1038"/>
        </w:numPr>
      </w:pPr>
      <w:r>
        <w:t xml:space="preserve">storage type;</w:t>
      </w:r>
    </w:p>
    <w:p>
      <w:pPr>
        <w:pStyle w:val="Compact"/>
        <w:numPr>
          <w:ilvl w:val="1"/>
          <w:numId w:val="1038"/>
        </w:numPr>
      </w:pPr>
      <w:r>
        <w:t xml:space="preserve">preset category overrides;</w:t>
      </w:r>
    </w:p>
    <w:p>
      <w:pPr>
        <w:pStyle w:val="Compact"/>
        <w:numPr>
          <w:ilvl w:val="1"/>
          <w:numId w:val="1038"/>
        </w:numPr>
      </w:pPr>
      <w:r>
        <w:t xml:space="preserve">gap detection;</w:t>
      </w:r>
    </w:p>
    <w:p>
      <w:pPr>
        <w:pStyle w:val="Compact"/>
        <w:numPr>
          <w:ilvl w:val="1"/>
          <w:numId w:val="1038"/>
        </w:numPr>
      </w:pPr>
      <w:r>
        <w:rPr>
          <w:rStyle w:val="VerbatimChar"/>
        </w:rPr>
        <w:t xml:space="preserve">beauty</w:t>
      </w:r>
      <w:r>
        <w:t xml:space="preserve"> </w:t>
      </w:r>
      <w:r>
        <w:t xml:space="preserve">listing;</w:t>
      </w:r>
    </w:p>
    <w:p>
      <w:pPr>
        <w:pStyle w:val="Compact"/>
        <w:numPr>
          <w:ilvl w:val="1"/>
          <w:numId w:val="1038"/>
        </w:numPr>
      </w:pPr>
      <w:r>
        <w:t xml:space="preserve">legacy screenshot labelling;</w:t>
      </w:r>
    </w:p>
    <w:p>
      <w:pPr>
        <w:pStyle w:val="Compact"/>
        <w:numPr>
          <w:ilvl w:val="1"/>
          <w:numId w:val="1038"/>
        </w:numPr>
      </w:pPr>
      <w:r>
        <w:t xml:space="preserve">Production/Stable classifier if appropriate.</w:t>
      </w:r>
    </w:p>
    <w:p>
      <w:pPr>
        <w:pStyle w:val="Compact"/>
        <w:numPr>
          <w:ilvl w:val="0"/>
          <w:numId w:val="1037"/>
        </w:numPr>
      </w:pPr>
      <w:r>
        <w:t xml:space="preserve">Re-run the current backend on the real Maya/Arnold EXR if available.</w:t>
      </w:r>
    </w:p>
    <w:p>
      <w:pPr>
        <w:pStyle w:val="Compact"/>
        <w:numPr>
          <w:ilvl w:val="0"/>
          <w:numId w:val="1037"/>
        </w:numPr>
      </w:pPr>
      <w:r>
        <w:t xml:space="preserve">Capture current GUI screenshot plus canonical JSON and HTML from that real input.</w:t>
      </w:r>
    </w:p>
    <w:p>
      <w:pPr>
        <w:pStyle w:val="Compact"/>
        <w:numPr>
          <w:ilvl w:val="0"/>
          <w:numId w:val="1037"/>
        </w:numPr>
      </w:pPr>
      <w:r>
        <w:t>Completed: a CLI/GUI canonical payload equivalence integration test was added on 11 August 2026.</w:t>
      </w:r>
    </w:p>
    <w:p>
      <w:pPr>
        <w:pStyle w:val="Compact"/>
        <w:numPr>
          <w:ilvl w:val="0"/>
          <w:numId w:val="1037"/>
        </w:numPr>
      </w:pPr>
      <w:r>
        <w:t xml:space="preserve">Freeze architecture/features.</w:t>
      </w:r>
    </w:p>
    <w:p>
      <w:pPr>
        <w:pStyle w:val="Compact"/>
        <w:numPr>
          <w:ilvl w:val="0"/>
          <w:numId w:val="1037"/>
        </w:numPr>
      </w:pPr>
      <w:r>
        <w:t xml:space="preserve">Finalise research questions, aims and objectives.</w:t>
      </w:r>
    </w:p>
    <w:p>
      <w:pPr>
        <w:pStyle w:val="Compact"/>
        <w:numPr>
          <w:ilvl w:val="0"/>
          <w:numId w:val="1037"/>
        </w:numPr>
      </w:pPr>
      <w:r>
        <w:t xml:space="preserve">Build the dissertation around evidence, not feature enumeration.</w:t>
      </w:r>
    </w:p>
    <w:p>
      <w:pPr>
        <w:pStyle w:val="Compact"/>
        <w:numPr>
          <w:ilvl w:val="0"/>
          <w:numId w:val="1037"/>
        </w:numPr>
      </w:pPr>
      <w:r>
        <w:t xml:space="preserve">Write Critical Discussion explicitly around the threats to validity above.</w:t>
      </w:r>
    </w:p>
    <w:p>
      <w:pPr>
        <w:pStyle w:val="Compact"/>
        <w:numPr>
          <w:ilvl w:val="0"/>
          <w:numId w:val="1037"/>
        </w:numPr>
      </w:pPr>
      <w:r>
        <w:t xml:space="preserve">Prepare presentation/demo from the frozen release.</w:t>
      </w:r>
    </w:p>
    <w:p>
      <w:pPr>
        <w:pStyle w:val="Compact"/>
        <w:numPr>
          <w:ilvl w:val="0"/>
          <w:numId w:val="1037"/>
        </w:numPr>
      </w:pPr>
      <w:r>
        <w:t xml:space="preserve">Extract the final release ZIP into a clean folder and test installation/execution from scratch.</w:t>
      </w:r>
    </w:p>
    <w:p>
      <w:pPr>
        <w:pStyle w:val="FirstParagraph"/>
      </w:pPr>
      <w:r>
        <w:t xml:space="preserve">Large items that should remain future work:</w:t>
      </w:r>
    </w:p>
    <w:p>
      <w:pPr>
        <w:pStyle w:val="Compact"/>
        <w:numPr>
          <w:ilvl w:val="0"/>
          <w:numId w:val="1039"/>
        </w:numPr>
      </w:pPr>
      <w:r>
        <w:t xml:space="preserve">production OpenImageIO backend;</w:t>
      </w:r>
    </w:p>
    <w:p>
      <w:pPr>
        <w:pStyle w:val="Compact"/>
        <w:numPr>
          <w:ilvl w:val="0"/>
          <w:numId w:val="1039"/>
        </w:numPr>
      </w:pPr>
      <w:r>
        <w:t xml:space="preserve">full multipart support;</w:t>
      </w:r>
    </w:p>
    <w:p>
      <w:pPr>
        <w:pStyle w:val="Compact"/>
        <w:numPr>
          <w:ilvl w:val="0"/>
          <w:numId w:val="1039"/>
        </w:numPr>
      </w:pPr>
      <w:r>
        <w:t xml:space="preserve">deep EXR analysis;</w:t>
      </w:r>
    </w:p>
    <w:p>
      <w:pPr>
        <w:pStyle w:val="Compact"/>
        <w:numPr>
          <w:ilvl w:val="0"/>
          <w:numId w:val="1039"/>
        </w:numPr>
      </w:pPr>
      <w:r>
        <w:t xml:space="preserve">specialised Z/N/P validators;</w:t>
      </w:r>
    </w:p>
    <w:p>
      <w:pPr>
        <w:pStyle w:val="Compact"/>
        <w:numPr>
          <w:ilvl w:val="0"/>
          <w:numId w:val="1039"/>
        </w:numPr>
      </w:pPr>
      <w:r>
        <w:t xml:space="preserve">external plugin system;</w:t>
      </w:r>
    </w:p>
    <w:p>
      <w:pPr>
        <w:pStyle w:val="Compact"/>
        <w:numPr>
          <w:ilvl w:val="0"/>
          <w:numId w:val="1039"/>
        </w:numPr>
      </w:pPr>
      <w:r>
        <w:t xml:space="preserve">Nuke/Maya/Houdini integration;</w:t>
      </w:r>
    </w:p>
    <w:p>
      <w:pPr>
        <w:pStyle w:val="Compact"/>
        <w:numPr>
          <w:ilvl w:val="0"/>
          <w:numId w:val="1039"/>
        </w:numPr>
      </w:pPr>
      <w:r>
        <w:t xml:space="preserve">render-farm integration;</w:t>
      </w:r>
    </w:p>
    <w:p>
      <w:pPr>
        <w:pStyle w:val="Compact"/>
        <w:numPr>
          <w:ilvl w:val="0"/>
          <w:numId w:val="1039"/>
        </w:numPr>
      </w:pPr>
      <w:r>
        <w:t xml:space="preserve">standalone executable;</w:t>
      </w:r>
    </w:p>
    <w:p>
      <w:pPr>
        <w:pStyle w:val="Compact"/>
        <w:numPr>
          <w:ilvl w:val="0"/>
          <w:numId w:val="1039"/>
        </w:numPr>
      </w:pPr>
      <w:r>
        <w:t xml:space="preserve">advanced visual breakdowns;</w:t>
      </w:r>
    </w:p>
    <w:p>
      <w:pPr>
        <w:pStyle w:val="Compact"/>
        <w:numPr>
          <w:ilvl w:val="0"/>
          <w:numId w:val="1039"/>
        </w:numPr>
      </w:pPr>
      <w:r>
        <w:t xml:space="preserve">colour-space-aware analysis with OCIO;</w:t>
      </w:r>
    </w:p>
    <w:p>
      <w:pPr>
        <w:pStyle w:val="Compact"/>
        <w:numPr>
          <w:ilvl w:val="0"/>
          <w:numId w:val="1039"/>
        </w:numPr>
      </w:pPr>
      <w:r>
        <w:t xml:space="preserve">formal production threshold calibration.</w:t>
      </w:r>
    </w:p>
    <w:bookmarkEnd w:id="134"/>
    <w:bookmarkStart w:id="142" w:name="Xd647319b3f21da1d7dfa21def7e6a0be95126eb"/>
    <w:p>
      <w:pPr>
        <w:pStyle w:val="Heading1"/>
        <w:keepNext/>
        <w:keepLines/>
      </w:pPr>
      <w:r>
        <w:t xml:space="preserve">27. Suggested dissertation evidence structure</w:t>
      </w:r>
    </w:p>
    <w:bookmarkStart w:id="135" w:name="introduction"/>
    <w:p>
      <w:pPr>
        <w:pStyle w:val="Heading2"/>
        <w:keepNext/>
        <w:keepLines/>
      </w:pPr>
      <w:r>
        <w:t xml:space="preserve">Introduction</w:t>
      </w:r>
    </w:p>
    <w:p>
      <w:pPr>
        <w:pStyle w:val="FirstParagraph"/>
      </w:pPr>
      <w:r>
        <w:t xml:space="preserve">Use:</w:t>
      </w:r>
    </w:p>
    <w:p>
      <w:pPr>
        <w:pStyle w:val="Compact"/>
        <w:numPr>
          <w:ilvl w:val="0"/>
          <w:numId w:val="1040"/>
        </w:numPr>
      </w:pPr>
      <w:r>
        <w:t xml:space="preserve">production context;</w:t>
      </w:r>
    </w:p>
    <w:p>
      <w:pPr>
        <w:pStyle w:val="Compact"/>
        <w:numPr>
          <w:ilvl w:val="0"/>
          <w:numId w:val="1040"/>
        </w:numPr>
      </w:pPr>
      <w:r>
        <w:t xml:space="preserve">OpenEXR/AOV motivation;</w:t>
      </w:r>
    </w:p>
    <w:p>
      <w:pPr>
        <w:pStyle w:val="Compact"/>
        <w:numPr>
          <w:ilvl w:val="0"/>
          <w:numId w:val="1040"/>
        </w:numPr>
      </w:pPr>
      <w:r>
        <w:t xml:space="preserve">compositing context;</w:t>
      </w:r>
    </w:p>
    <w:p>
      <w:pPr>
        <w:pStyle w:val="Compact"/>
        <w:numPr>
          <w:ilvl w:val="0"/>
          <w:numId w:val="1040"/>
        </w:numPr>
      </w:pPr>
      <w:r>
        <w:t xml:space="preserve">clear problem statement;</w:t>
      </w:r>
    </w:p>
    <w:p>
      <w:pPr>
        <w:pStyle w:val="Compact"/>
        <w:numPr>
          <w:ilvl w:val="0"/>
          <w:numId w:val="1040"/>
        </w:numPr>
      </w:pPr>
      <w:r>
        <w:t xml:space="preserve">aim/objectives/RQs.</w:t>
      </w:r>
    </w:p>
    <w:p>
      <w:pPr>
        <w:pStyle w:val="FirstParagraph"/>
      </w:pPr>
      <w:r>
        <w:t xml:space="preserve">Core references: OpenEXR, Brinkmann, Wright, VES, DNEG AOV work, ILM/DNEG QC.</w:t>
      </w:r>
    </w:p>
    <w:bookmarkEnd w:id="135"/>
    <w:bookmarkStart w:id="136" w:name="background-and-related-work"/>
    <w:p>
      <w:pPr>
        <w:pStyle w:val="Heading2"/>
        <w:keepNext/>
        <w:keepLines/>
      </w:pPr>
      <w:r>
        <w:t xml:space="preserve">Background and Related Work</w:t>
      </w:r>
    </w:p>
    <w:p>
      <w:pPr>
        <w:pStyle w:val="FirstParagraph"/>
      </w:pPr>
      <w:r>
        <w:t xml:space="preserve">Suggested sequence:</w:t>
      </w:r>
    </w:p>
    <w:p>
      <w:pPr>
        <w:pStyle w:val="Compact"/>
        <w:numPr>
          <w:ilvl w:val="0"/>
          <w:numId w:val="1041"/>
        </w:numPr>
      </w:pPr>
      <w:r>
        <w:t xml:space="preserve">HDR and OpenEXR;</w:t>
      </w:r>
    </w:p>
    <w:p>
      <w:pPr>
        <w:pStyle w:val="Compact"/>
        <w:numPr>
          <w:ilvl w:val="0"/>
          <w:numId w:val="1041"/>
        </w:numPr>
      </w:pPr>
      <w:r>
        <w:t xml:space="preserve">render passes/AOVs;</w:t>
      </w:r>
    </w:p>
    <w:p>
      <w:pPr>
        <w:pStyle w:val="Compact"/>
        <w:numPr>
          <w:ilvl w:val="0"/>
          <w:numId w:val="1041"/>
        </w:numPr>
      </w:pPr>
      <w:r>
        <w:t xml:space="preserve">digital compositing requirements;</w:t>
      </w:r>
    </w:p>
    <w:p>
      <w:pPr>
        <w:pStyle w:val="Compact"/>
        <w:numPr>
          <w:ilvl w:val="0"/>
          <w:numId w:val="1041"/>
        </w:numPr>
      </w:pPr>
      <w:r>
        <w:t xml:space="preserve">structured auxiliary render data;</w:t>
      </w:r>
    </w:p>
    <w:p>
      <w:pPr>
        <w:pStyle w:val="Compact"/>
        <w:numPr>
          <w:ilvl w:val="0"/>
          <w:numId w:val="1041"/>
        </w:numPr>
      </w:pPr>
      <w:r>
        <w:t xml:space="preserve">existing image/EXR inspection tools;</w:t>
      </w:r>
    </w:p>
    <w:p>
      <w:pPr>
        <w:pStyle w:val="Compact"/>
        <w:numPr>
          <w:ilvl w:val="0"/>
          <w:numId w:val="1041"/>
        </w:numPr>
      </w:pPr>
      <w:r>
        <w:t xml:space="preserve">automated validation and QC in VFX;</w:t>
      </w:r>
    </w:p>
    <w:p>
      <w:pPr>
        <w:pStyle w:val="Compact"/>
        <w:numPr>
          <w:ilvl w:val="0"/>
          <w:numId w:val="1041"/>
        </w:numPr>
      </w:pPr>
      <w:r>
        <w:t xml:space="preserve">scene-linear colour interpretation;</w:t>
      </w:r>
    </w:p>
    <w:p>
      <w:pPr>
        <w:pStyle w:val="Compact"/>
        <w:numPr>
          <w:ilvl w:val="0"/>
          <w:numId w:val="1041"/>
        </w:numPr>
      </w:pPr>
      <w:r>
        <w:t xml:space="preserve">software quality and empirical evaluation;</w:t>
      </w:r>
    </w:p>
    <w:p>
      <w:pPr>
        <w:pStyle w:val="Compact"/>
        <w:numPr>
          <w:ilvl w:val="0"/>
          <w:numId w:val="1041"/>
        </w:numPr>
      </w:pPr>
      <w:r>
        <w:t xml:space="preserve">AOVGuard research positioning.</w:t>
      </w:r>
    </w:p>
    <w:bookmarkEnd w:id="136"/>
    <w:bookmarkStart w:id="137" w:name="methodology"/>
    <w:p>
      <w:pPr>
        <w:pStyle w:val="Heading2"/>
        <w:keepNext/>
        <w:keepLines/>
      </w:pPr>
      <w:r>
        <w:t xml:space="preserve">Methodology</w:t>
      </w:r>
    </w:p>
    <w:p>
      <w:pPr>
        <w:pStyle w:val="FirstParagraph"/>
      </w:pPr>
      <w:r>
        <w:t xml:space="preserve">Use:</w:t>
      </w:r>
    </w:p>
    <w:p>
      <w:pPr>
        <w:pStyle w:val="Compact"/>
        <w:numPr>
          <w:ilvl w:val="0"/>
          <w:numId w:val="1042"/>
        </w:numPr>
      </w:pPr>
      <w:r>
        <w:t xml:space="preserve">prototype characterisation;</w:t>
      </w:r>
    </w:p>
    <w:p>
      <w:pPr>
        <w:pStyle w:val="Compact"/>
        <w:numPr>
          <w:ilvl w:val="0"/>
          <w:numId w:val="1042"/>
        </w:numPr>
      </w:pPr>
      <w:r>
        <w:t xml:space="preserve">instructor feedback as project requirements/history, not literature;</w:t>
      </w:r>
    </w:p>
    <w:p>
      <w:pPr>
        <w:pStyle w:val="Compact"/>
        <w:numPr>
          <w:ilvl w:val="0"/>
          <w:numId w:val="1042"/>
        </w:numPr>
      </w:pPr>
      <w:r>
        <w:t xml:space="preserve">backend spike;</w:t>
      </w:r>
    </w:p>
    <w:p>
      <w:pPr>
        <w:pStyle w:val="Compact"/>
        <w:numPr>
          <w:ilvl w:val="0"/>
          <w:numId w:val="1042"/>
        </w:numPr>
      </w:pPr>
      <w:r>
        <w:t xml:space="preserve">architectural decision process;</w:t>
      </w:r>
    </w:p>
    <w:p>
      <w:pPr>
        <w:pStyle w:val="Compact"/>
        <w:numPr>
          <w:ilvl w:val="0"/>
          <w:numId w:val="1042"/>
        </w:numPr>
      </w:pPr>
      <w:r>
        <w:t xml:space="preserve">test strategy;</w:t>
      </w:r>
    </w:p>
    <w:p>
      <w:pPr>
        <w:pStyle w:val="Compact"/>
        <w:numPr>
          <w:ilvl w:val="0"/>
          <w:numId w:val="1042"/>
        </w:numPr>
      </w:pPr>
      <w:r>
        <w:t xml:space="preserve">benchmark design;</w:t>
      </w:r>
    </w:p>
    <w:p>
      <w:pPr>
        <w:pStyle w:val="Compact"/>
        <w:numPr>
          <w:ilvl w:val="0"/>
          <w:numId w:val="1042"/>
        </w:numPr>
      </w:pPr>
      <w:r>
        <w:t xml:space="preserve">validity criteria.</w:t>
      </w:r>
    </w:p>
    <w:p>
      <w:pPr>
        <w:pStyle w:val="FirstParagraph"/>
      </w:pPr>
      <w:r>
        <w:t xml:space="preserve">Core references: Wohlin, Kalibera &amp; Jones, Ammann &amp; Offutt, ISO 25010.</w:t>
      </w:r>
    </w:p>
    <w:bookmarkEnd w:id="137"/>
    <w:bookmarkStart w:id="138" w:name="system-design-and-implementation"/>
    <w:p>
      <w:pPr>
        <w:pStyle w:val="Heading2"/>
        <w:keepNext/>
        <w:keepLines/>
      </w:pPr>
      <w:r>
        <w:t xml:space="preserve">System Design and Implementation</w:t>
      </w:r>
    </w:p>
    <w:p>
      <w:pPr>
        <w:pStyle w:val="FirstParagraph"/>
      </w:pPr>
      <w:r>
        <w:t xml:space="preserve">Structure each subsection as:</w:t>
      </w:r>
    </w:p>
    <w:p>
      <w:pPr>
        <w:pStyle w:val="BlockText"/>
      </w:pPr>
      <w:r>
        <w:t xml:space="preserve">problem -&gt; design decision -&gt; implementation -&gt; trade-off</w:t>
      </w:r>
    </w:p>
    <w:p>
      <w:pPr>
        <w:pStyle w:val="FirstParagraph"/>
      </w:pPr>
      <w:r>
        <w:t xml:space="preserve">Avoid turning this chapter into a README or file-by-file code dump.</w:t>
      </w:r>
    </w:p>
    <w:bookmarkEnd w:id="138"/>
    <w:bookmarkStart w:id="139" w:name="evaluation-and-results"/>
    <w:p>
      <w:pPr>
        <w:pStyle w:val="Heading2"/>
        <w:keepNext/>
        <w:keepLines/>
      </w:pPr>
      <w:r>
        <w:t xml:space="preserve">Evaluation and Results</w:t>
      </w:r>
    </w:p>
    <w:p>
      <w:pPr>
        <w:pStyle w:val="FirstParagraph"/>
      </w:pPr>
      <w:r>
        <w:t xml:space="preserve">Separate method from result:</w:t>
      </w:r>
    </w:p>
    <w:p>
      <w:pPr>
        <w:pStyle w:val="Compact"/>
        <w:numPr>
          <w:ilvl w:val="0"/>
          <w:numId w:val="1043"/>
        </w:numPr>
      </w:pPr>
      <w:r>
        <w:t xml:space="preserve">generated fixtures;</w:t>
      </w:r>
    </w:p>
    <w:p>
      <w:pPr>
        <w:pStyle w:val="Compact"/>
        <w:numPr>
          <w:ilvl w:val="0"/>
          <w:numId w:val="1043"/>
        </w:numPr>
      </w:pPr>
      <w:r>
        <w:t xml:space="preserve">real EXR validation;</w:t>
      </w:r>
    </w:p>
    <w:p>
      <w:pPr>
        <w:pStyle w:val="Compact"/>
        <w:numPr>
          <w:ilvl w:val="0"/>
          <w:numId w:val="1043"/>
        </w:numPr>
      </w:pPr>
      <w:r>
        <w:t xml:space="preserve">tests and branch coverage;</w:t>
      </w:r>
    </w:p>
    <w:p>
      <w:pPr>
        <w:pStyle w:val="Compact"/>
        <w:numPr>
          <w:ilvl w:val="0"/>
          <w:numId w:val="1043"/>
        </w:numPr>
      </w:pPr>
      <w:r>
        <w:t xml:space="preserve">report correctness/strict JSON;</w:t>
      </w:r>
    </w:p>
    <w:p>
      <w:pPr>
        <w:pStyle w:val="Compact"/>
        <w:numPr>
          <w:ilvl w:val="0"/>
          <w:numId w:val="1043"/>
        </w:numPr>
      </w:pPr>
      <w:r>
        <w:t xml:space="preserve">error/failure handling;</w:t>
      </w:r>
    </w:p>
    <w:p>
      <w:pPr>
        <w:pStyle w:val="Compact"/>
        <w:numPr>
          <w:ilvl w:val="0"/>
          <w:numId w:val="1043"/>
        </w:numPr>
      </w:pPr>
      <w:r>
        <w:t xml:space="preserve">frame-first benchmark;</w:t>
      </w:r>
    </w:p>
    <w:p>
      <w:pPr>
        <w:pStyle w:val="Compact"/>
        <w:numPr>
          <w:ilvl w:val="0"/>
          <w:numId w:val="1043"/>
        </w:numPr>
      </w:pPr>
      <w:r>
        <w:t xml:space="preserve">CLI/GUI shared-backend evidence.</w:t>
      </w:r>
    </w:p>
    <w:bookmarkEnd w:id="139"/>
    <w:bookmarkStart w:id="140" w:name="critical-discussion"/>
    <w:p>
      <w:pPr>
        <w:pStyle w:val="Heading2"/>
        <w:keepNext/>
        <w:keepLines/>
      </w:pPr>
      <w:r>
        <w:t xml:space="preserve">Critical Discussion</w:t>
      </w:r>
    </w:p>
    <w:p>
      <w:pPr>
        <w:pStyle w:val="FirstParagraph"/>
      </w:pPr>
      <w:r>
        <w:t xml:space="preserve">This should explicitly cover:</w:t>
      </w:r>
    </w:p>
    <w:p>
      <w:pPr>
        <w:pStyle w:val="Compact"/>
        <w:numPr>
          <w:ilvl w:val="0"/>
          <w:numId w:val="1044"/>
        </w:numPr>
      </w:pPr>
      <w:r>
        <w:t xml:space="preserve">what the results demonstrate;</w:t>
      </w:r>
    </w:p>
    <w:p>
      <w:pPr>
        <w:pStyle w:val="Compact"/>
        <w:numPr>
          <w:ilvl w:val="0"/>
          <w:numId w:val="1044"/>
        </w:numPr>
      </w:pPr>
      <w:r>
        <w:t xml:space="preserve">what they do not demonstrate;</w:t>
      </w:r>
    </w:p>
    <w:p>
      <w:pPr>
        <w:pStyle w:val="Compact"/>
        <w:numPr>
          <w:ilvl w:val="0"/>
          <w:numId w:val="1044"/>
        </w:numPr>
      </w:pPr>
      <w:r>
        <w:t xml:space="preserve">benchmark external validity;</w:t>
      </w:r>
    </w:p>
    <w:p>
      <w:pPr>
        <w:pStyle w:val="Compact"/>
        <w:numPr>
          <w:ilvl w:val="0"/>
          <w:numId w:val="1044"/>
        </w:numPr>
      </w:pPr>
      <w:r>
        <w:t xml:space="preserve">coverage limits;</w:t>
      </w:r>
    </w:p>
    <w:p>
      <w:pPr>
        <w:pStyle w:val="Compact"/>
        <w:numPr>
          <w:ilvl w:val="0"/>
          <w:numId w:val="1044"/>
        </w:numPr>
      </w:pPr>
      <w:r>
        <w:t xml:space="preserve">heuristic classification;</w:t>
      </w:r>
    </w:p>
    <w:p>
      <w:pPr>
        <w:pStyle w:val="Compact"/>
        <w:numPr>
          <w:ilvl w:val="0"/>
          <w:numId w:val="1044"/>
        </w:numPr>
      </w:pPr>
      <w:r>
        <w:t xml:space="preserve">threshold calibration;</w:t>
      </w:r>
    </w:p>
    <w:p>
      <w:pPr>
        <w:pStyle w:val="Compact"/>
        <w:numPr>
          <w:ilvl w:val="0"/>
          <w:numId w:val="1044"/>
        </w:numPr>
      </w:pPr>
      <w:r>
        <w:t xml:space="preserve">colour-space limitation;</w:t>
      </w:r>
    </w:p>
    <w:p>
      <w:pPr>
        <w:pStyle w:val="Compact"/>
        <w:numPr>
          <w:ilvl w:val="0"/>
          <w:numId w:val="1044"/>
        </w:numPr>
      </w:pPr>
      <w:r>
        <w:t xml:space="preserve">real-data limitations;</w:t>
      </w:r>
    </w:p>
    <w:p>
      <w:pPr>
        <w:pStyle w:val="Compact"/>
        <w:numPr>
          <w:ilvl w:val="0"/>
          <w:numId w:val="1044"/>
        </w:numPr>
      </w:pPr>
      <w:r>
        <w:t xml:space="preserve">deep/multipart scope;</w:t>
      </w:r>
    </w:p>
    <w:p>
      <w:pPr>
        <w:pStyle w:val="Compact"/>
        <w:numPr>
          <w:ilvl w:val="0"/>
          <w:numId w:val="1044"/>
        </w:numPr>
      </w:pPr>
      <w:r>
        <w:t xml:space="preserve">usability evidence gap;</w:t>
      </w:r>
    </w:p>
    <w:p>
      <w:pPr>
        <w:pStyle w:val="Compact"/>
        <w:numPr>
          <w:ilvl w:val="0"/>
          <w:numId w:val="1044"/>
        </w:numPr>
      </w:pPr>
      <w:r>
        <w:t xml:space="preserve">deployment/VFX Reference Platform context.</w:t>
      </w:r>
    </w:p>
    <w:bookmarkEnd w:id="140"/>
    <w:bookmarkStart w:id="141" w:name="conclusion"/>
    <w:p>
      <w:pPr>
        <w:pStyle w:val="Heading2"/>
        <w:keepNext/>
        <w:keepLines/>
      </w:pPr>
      <w:r>
        <w:t xml:space="preserve">Conclusion</w:t>
      </w:r>
    </w:p>
    <w:p>
      <w:pPr>
        <w:pStyle w:val="FirstParagraph"/>
      </w:pPr>
      <w:r>
        <w:t xml:space="preserve">Answer each research question directly. Do not only list implemented features.</w:t>
      </w:r>
    </w:p>
    <w:bookmarkEnd w:id="141"/>
    <w:bookmarkEnd w:id="142"/>
    <w:bookmarkStart w:id="147" w:name="evidence-status-summary"/>
    <w:p>
      <w:pPr>
        <w:pStyle w:val="Heading1"/>
        <w:keepNext/>
        <w:keepLines/>
      </w:pPr>
      <w:r>
        <w:t xml:space="preserve">28. Evidence-status summary</w:t>
      </w:r>
    </w:p>
    <w:bookmarkStart w:id="143" w:name="confirmed-implementation-2"/>
    <w:p>
      <w:pPr>
        <w:pStyle w:val="Heading2"/>
        <w:keepNext/>
        <w:keepLines/>
      </w:pPr>
      <w:r>
        <w:t xml:space="preserve">Confirmed implementation</w:t>
      </w:r>
    </w:p>
    <w:p>
      <w:pPr>
        <w:pStyle w:val="Compact"/>
        <w:numPr>
          <w:ilvl w:val="0"/>
          <w:numId w:val="1045"/>
        </w:numPr>
      </w:pPr>
      <w:r>
        <w:t xml:space="preserve">automatic EXR structure inspection;</w:t>
      </w:r>
    </w:p>
    <w:p>
      <w:pPr>
        <w:pStyle w:val="Compact"/>
        <w:numPr>
          <w:ilvl w:val="0"/>
          <w:numId w:val="1045"/>
        </w:numPr>
      </w:pPr>
      <w:r>
        <w:t xml:space="preserve">six AOV categories with confidence labels;</w:t>
      </w:r>
    </w:p>
    <w:p>
      <w:pPr>
        <w:pStyle w:val="Compact"/>
        <w:numPr>
          <w:ilvl w:val="0"/>
          <w:numId w:val="1045"/>
        </w:numPr>
      </w:pPr>
      <w:r>
        <w:t xml:space="preserve">root RGB -&gt;</w:t>
      </w:r>
      <w:r>
        <w:t xml:space="preserve"> </w:t>
      </w:r>
      <w:r>
        <w:rPr>
          <w:rStyle w:val="VerbatimChar"/>
        </w:rPr>
        <w:t xml:space="preserve">beauty</w:t>
      </w:r>
      <w:r>
        <w:t xml:space="preserve"> </w:t>
      </w:r>
      <w:r>
        <w:t xml:space="preserve">inference;</w:t>
      </w:r>
    </w:p>
    <w:p>
      <w:pPr>
        <w:pStyle w:val="Compact"/>
        <w:numPr>
          <w:ilvl w:val="0"/>
          <w:numId w:val="1045"/>
        </w:numPr>
      </w:pPr>
      <w:r>
        <w:t xml:space="preserve">canonical RGB construction for colour AOVs;</w:t>
      </w:r>
    </w:p>
    <w:p>
      <w:pPr>
        <w:pStyle w:val="Compact"/>
        <w:numPr>
          <w:ilvl w:val="0"/>
          <w:numId w:val="1045"/>
        </w:numPr>
      </w:pPr>
      <w:r>
        <w:t xml:space="preserve">Rec.709, Rec.601 and custom RGB weights;</w:t>
      </w:r>
    </w:p>
    <w:p>
      <w:pPr>
        <w:pStyle w:val="Compact"/>
        <w:numPr>
          <w:ilvl w:val="0"/>
          <w:numId w:val="1045"/>
        </w:numPr>
      </w:pPr>
      <w:r>
        <w:t xml:space="preserve">shared core analysis backend;</w:t>
      </w:r>
    </w:p>
    <w:p>
      <w:pPr>
        <w:pStyle w:val="Compact"/>
        <w:numPr>
          <w:ilvl w:val="0"/>
          <w:numId w:val="1045"/>
        </w:numPr>
      </w:pPr>
      <w:r>
        <w:t xml:space="preserve">single frame-discovery result used by analysis/reporting;</w:t>
      </w:r>
    </w:p>
    <w:p>
      <w:pPr>
        <w:pStyle w:val="Compact"/>
        <w:numPr>
          <w:ilvl w:val="0"/>
          <w:numId w:val="1045"/>
        </w:numPr>
      </w:pPr>
      <w:r>
        <w:t xml:space="preserve">frame-first main application loop;</w:t>
      </w:r>
    </w:p>
    <w:p>
      <w:pPr>
        <w:pStyle w:val="Compact"/>
        <w:numPr>
          <w:ilvl w:val="0"/>
          <w:numId w:val="1045"/>
        </w:numPr>
      </w:pPr>
      <w:r>
        <w:t xml:space="preserve">configurable rule definitions and presets;</w:t>
      </w:r>
    </w:p>
    <w:p>
      <w:pPr>
        <w:pStyle w:val="Compact"/>
        <w:numPr>
          <w:ilvl w:val="0"/>
          <w:numId w:val="1045"/>
        </w:numPr>
      </w:pPr>
      <w:r>
        <w:t xml:space="preserve">per-rule failure isolation via</w:t>
      </w:r>
      <w:r>
        <w:t xml:space="preserve"> </w:t>
      </w:r>
      <w:r>
        <w:rPr>
          <w:rStyle w:val="VerbatimChar"/>
        </w:rPr>
        <w:t xml:space="preserve">rule_error</w:t>
      </w:r>
      <w:r>
        <w:t xml:space="preserve">;</w:t>
      </w:r>
    </w:p>
    <w:p>
      <w:pPr>
        <w:pStyle w:val="Compact"/>
        <w:numPr>
          <w:ilvl w:val="0"/>
          <w:numId w:val="1045"/>
        </w:numPr>
      </w:pPr>
      <w:r>
        <w:t xml:space="preserve">nine principal built-in validation rules;</w:t>
      </w:r>
    </w:p>
    <w:p>
      <w:pPr>
        <w:pStyle w:val="Compact"/>
        <w:numPr>
          <w:ilvl w:val="0"/>
          <w:numId w:val="1045"/>
        </w:numPr>
      </w:pPr>
      <w:r>
        <w:t xml:space="preserve">sequence gaps, duplicates and padding checks;</w:t>
      </w:r>
    </w:p>
    <w:p>
      <w:pPr>
        <w:pStyle w:val="Compact"/>
        <w:numPr>
          <w:ilvl w:val="0"/>
          <w:numId w:val="1045"/>
        </w:numPr>
      </w:pPr>
      <w:r>
        <w:t xml:space="preserve">canonical</w:t>
      </w:r>
      <w:r>
        <w:t xml:space="preserve"> </w:t>
      </w:r>
      <w:r>
        <w:rPr>
          <w:rStyle w:val="VerbatimChar"/>
        </w:rPr>
        <w:t xml:space="preserve">AnalysisReport</w:t>
      </w:r>
      <w:r>
        <w:t xml:space="preserve">;</w:t>
      </w:r>
    </w:p>
    <w:p>
      <w:pPr>
        <w:pStyle w:val="Compact"/>
        <w:numPr>
          <w:ilvl w:val="0"/>
          <w:numId w:val="1045"/>
        </w:numPr>
      </w:pPr>
      <w:r>
        <w:t xml:space="preserve">strict JSON and self-contained HTML output;</w:t>
      </w:r>
    </w:p>
    <w:p>
      <w:pPr>
        <w:pStyle w:val="Compact"/>
        <w:numPr>
          <w:ilvl w:val="0"/>
          <w:numId w:val="1045"/>
        </w:numPr>
      </w:pPr>
      <w:r>
        <w:t xml:space="preserve">shared PASS/WARNING/FAIL status logic;</w:t>
      </w:r>
    </w:p>
    <w:p>
      <w:pPr>
        <w:pStyle w:val="Compact"/>
        <w:numPr>
          <w:ilvl w:val="0"/>
          <w:numId w:val="1045"/>
        </w:numPr>
      </w:pPr>
      <w:r>
        <w:t xml:space="preserve">current CLI commands;</w:t>
      </w:r>
    </w:p>
    <w:p>
      <w:pPr>
        <w:pStyle w:val="Compact"/>
        <w:numPr>
          <w:ilvl w:val="0"/>
          <w:numId w:val="1045"/>
        </w:numPr>
      </w:pPr>
      <w:r>
        <w:t xml:space="preserve">PySide6 GUI with worker thread, progress and cooperative cancellation;</w:t>
      </w:r>
    </w:p>
    <w:p>
      <w:pPr>
        <w:pStyle w:val="Compact"/>
        <w:numPr>
          <w:ilvl w:val="0"/>
          <w:numId w:val="1045"/>
        </w:numPr>
      </w:pPr>
      <w:r>
        <w:t xml:space="preserve">automated test suite and CI coverage threshold.</w:t>
      </w:r>
    </w:p>
    <w:bookmarkEnd w:id="143"/>
    <w:bookmarkStart w:id="144" w:name="recorded-experimental-evidence"/>
    <w:p>
      <w:pPr>
        <w:pStyle w:val="Heading2"/>
        <w:keepNext/>
        <w:keepLines/>
      </w:pPr>
      <w:r>
        <w:t xml:space="preserve">Recorded experimental evidence</w:t>
      </w:r>
    </w:p>
    <w:p>
      <w:pPr>
        <w:pStyle w:val="Compact"/>
        <w:numPr>
          <w:ilvl w:val="0"/>
          <w:numId w:val="1046"/>
        </w:numPr>
      </w:pPr>
      <w:r>
        <w:t xml:space="preserve">backend spike outcome for OpenEXR/OpenCV/OpenImageIO;</w:t>
      </w:r>
    </w:p>
    <w:p>
      <w:pPr>
        <w:pStyle w:val="Compact"/>
        <w:numPr>
          <w:ilvl w:val="0"/>
          <w:numId w:val="1046"/>
        </w:numPr>
      </w:pPr>
      <w:r>
        <w:t xml:space="preserve">benchmark environment and fixture;</w:t>
      </w:r>
    </w:p>
    <w:p>
      <w:pPr>
        <w:pStyle w:val="Compact"/>
        <w:numPr>
          <w:ilvl w:val="0"/>
          <w:numId w:val="1046"/>
        </w:numPr>
      </w:pPr>
      <w:r>
        <w:t xml:space="preserve">60 vs 12 application-level reader calls;</w:t>
      </w:r>
    </w:p>
    <w:p>
      <w:pPr>
        <w:pStyle w:val="Compact"/>
        <w:numPr>
          <w:ilvl w:val="0"/>
          <w:numId w:val="1046"/>
        </w:numPr>
      </w:pPr>
      <w:r>
        <w:t xml:space="preserve">recorded ~4.07x median time ratio for the fixture;</w:t>
      </w:r>
    </w:p>
    <w:p>
      <w:pPr>
        <w:pStyle w:val="Compact"/>
        <w:numPr>
          <w:ilvl w:val="0"/>
          <w:numId w:val="1046"/>
        </w:numPr>
      </w:pPr>
      <w:r>
        <w:t xml:space="preserve">identical recorded checksum;</w:t>
      </w:r>
    </w:p>
    <w:p>
      <w:pPr>
        <w:pStyle w:val="Compact"/>
        <w:numPr>
          <w:ilvl w:val="0"/>
          <w:numId w:val="1046"/>
        </w:numPr>
      </w:pPr>
      <w:r>
        <w:t xml:space="preserve">~1.99x Python-tracked peak-memory ratio for frame-first in the fixture;</w:t>
      </w:r>
    </w:p>
    <w:p>
      <w:pPr>
        <w:pStyle w:val="Compact"/>
        <w:numPr>
          <w:ilvl w:val="0"/>
          <w:numId w:val="1046"/>
        </w:numPr>
      </w:pPr>
      <w:r>
        <w:t xml:space="preserve">167 recorded pytest cases;</w:t>
      </w:r>
    </w:p>
    <w:p>
      <w:pPr>
        <w:pStyle w:val="Compact"/>
        <w:numPr>
          <w:ilvl w:val="0"/>
          <w:numId w:val="1046"/>
        </w:numPr>
      </w:pPr>
      <w:r>
        <w:t xml:space="preserve">97.50% recorded combined statement/branch coverage;</w:t>
      </w:r>
    </w:p>
    <w:p>
      <w:pPr>
        <w:pStyle w:val="Compact"/>
        <w:numPr>
          <w:ilvl w:val="0"/>
          <w:numId w:val="1046"/>
        </w:numPr>
      </w:pPr>
      <w:r>
        <w:t xml:space="preserve">CI threshold of 90%.</w:t>
      </w:r>
    </w:p>
    <w:bookmarkEnd w:id="144"/>
    <w:bookmarkStart w:id="145" w:name="interpretation-1"/>
    <w:p>
      <w:pPr>
        <w:pStyle w:val="Heading2"/>
        <w:keepNext/>
        <w:keepLines/>
      </w:pPr>
      <w:r>
        <w:t xml:space="preserve">Interpretation</w:t>
      </w:r>
    </w:p>
    <w:p>
      <w:pPr>
        <w:pStyle w:val="Compact"/>
        <w:numPr>
          <w:ilvl w:val="0"/>
          <w:numId w:val="1047"/>
        </w:numPr>
      </w:pPr>
      <w:r>
        <w:t xml:space="preserve">canonical RGB reduces earlier channel-order ambiguity;</w:t>
      </w:r>
    </w:p>
    <w:p>
      <w:pPr>
        <w:pStyle w:val="Compact"/>
        <w:numPr>
          <w:ilvl w:val="0"/>
          <w:numId w:val="1047"/>
        </w:numPr>
      </w:pPr>
      <w:r>
        <w:t xml:space="preserve">a shared backend reduces duplicated validation logic;</w:t>
      </w:r>
    </w:p>
    <w:p>
      <w:pPr>
        <w:pStyle w:val="Compact"/>
        <w:numPr>
          <w:ilvl w:val="0"/>
          <w:numId w:val="1047"/>
        </w:numPr>
      </w:pPr>
      <w:r>
        <w:t xml:space="preserve">configurable rules make validation policy easier to change/reproduce;</w:t>
      </w:r>
    </w:p>
    <w:p>
      <w:pPr>
        <w:pStyle w:val="Compact"/>
        <w:numPr>
          <w:ilvl w:val="0"/>
          <w:numId w:val="1047"/>
        </w:numPr>
      </w:pPr>
      <w:r>
        <w:t xml:space="preserve">frame-first trades fewer reader calls for a larger transient per-frame memory footprint in the recorded fixture;</w:t>
      </w:r>
    </w:p>
    <w:p>
      <w:pPr>
        <w:pStyle w:val="Compact"/>
        <w:numPr>
          <w:ilvl w:val="0"/>
          <w:numId w:val="1047"/>
        </w:numPr>
      </w:pPr>
      <w:r>
        <w:t xml:space="preserve">structured JSON/HTML makes evidence easier to preserve and consume.</w:t>
      </w:r>
    </w:p>
    <w:p>
      <w:pPr>
        <w:pStyle w:val="FirstParagraph"/>
      </w:pPr>
      <w:r>
        <w:t xml:space="preserve">These are reasonable interpretations but should not be written as universal production guarantees.</w:t>
      </w:r>
    </w:p>
    <w:bookmarkEnd w:id="145"/>
    <w:bookmarkStart w:id="146" w:name="proposedfuture-work"/>
    <w:p>
      <w:pPr>
        <w:pStyle w:val="Heading2"/>
        <w:keepNext/>
        <w:keepLines/>
      </w:pPr>
      <w:r>
        <w:t xml:space="preserve">Proposed/future work</w:t>
      </w:r>
    </w:p>
    <w:p>
      <w:pPr>
        <w:pStyle w:val="Compact"/>
        <w:numPr>
          <w:ilvl w:val="0"/>
          <w:numId w:val="1048"/>
        </w:numPr>
      </w:pPr>
      <w:r>
        <w:t xml:space="preserve">OpenImageIO production backend;</w:t>
      </w:r>
    </w:p>
    <w:p>
      <w:pPr>
        <w:pStyle w:val="Compact"/>
        <w:numPr>
          <w:ilvl w:val="0"/>
          <w:numId w:val="1048"/>
        </w:numPr>
      </w:pPr>
      <w:r>
        <w:t xml:space="preserve">deep and complete multipart analysis;</w:t>
      </w:r>
    </w:p>
    <w:p>
      <w:pPr>
        <w:pStyle w:val="Compact"/>
        <w:numPr>
          <w:ilvl w:val="0"/>
          <w:numId w:val="1048"/>
        </w:numPr>
      </w:pPr>
      <w:r>
        <w:t xml:space="preserve">technical validators for depth/vector passes;</w:t>
      </w:r>
    </w:p>
    <w:p>
      <w:pPr>
        <w:pStyle w:val="Compact"/>
        <w:numPr>
          <w:ilvl w:val="0"/>
          <w:numId w:val="1048"/>
        </w:numPr>
      </w:pPr>
      <w:r>
        <w:t xml:space="preserve">explicit AOV category override mechanism;</w:t>
      </w:r>
    </w:p>
    <w:p>
      <w:pPr>
        <w:pStyle w:val="Compact"/>
        <w:numPr>
          <w:ilvl w:val="0"/>
          <w:numId w:val="1048"/>
        </w:numPr>
      </w:pPr>
      <w:r>
        <w:t xml:space="preserve">external plugins;</w:t>
      </w:r>
    </w:p>
    <w:p>
      <w:pPr>
        <w:pStyle w:val="Compact"/>
        <w:numPr>
          <w:ilvl w:val="0"/>
          <w:numId w:val="1048"/>
        </w:numPr>
      </w:pPr>
      <w:r>
        <w:t xml:space="preserve">DCC/render-farm integration;</w:t>
      </w:r>
    </w:p>
    <w:p>
      <w:pPr>
        <w:pStyle w:val="Compact"/>
        <w:numPr>
          <w:ilvl w:val="0"/>
          <w:numId w:val="1048"/>
        </w:numPr>
      </w:pPr>
      <w:r>
        <w:t xml:space="preserve">colour-space-aware processing;</w:t>
      </w:r>
    </w:p>
    <w:p>
      <w:pPr>
        <w:pStyle w:val="Compact"/>
        <w:numPr>
          <w:ilvl w:val="0"/>
          <w:numId w:val="1048"/>
        </w:numPr>
      </w:pPr>
      <w:r>
        <w:t xml:space="preserve">broader renderer/studio datasets;</w:t>
      </w:r>
    </w:p>
    <w:p>
      <w:pPr>
        <w:pStyle w:val="Compact"/>
        <w:numPr>
          <w:ilvl w:val="0"/>
          <w:numId w:val="1048"/>
        </w:numPr>
      </w:pPr>
      <w:r>
        <w:t xml:space="preserve">production threshold calibration;</w:t>
      </w:r>
    </w:p>
    <w:p>
      <w:pPr>
        <w:pStyle w:val="Compact"/>
        <w:numPr>
          <w:ilvl w:val="0"/>
          <w:numId w:val="1048"/>
        </w:numPr>
      </w:pPr>
      <w:r>
        <w:t xml:space="preserve">formal usability study;</w:t>
      </w:r>
    </w:p>
    <w:p>
      <w:pPr>
        <w:pStyle w:val="Compact"/>
        <w:numPr>
          <w:ilvl w:val="0"/>
          <w:numId w:val="1048"/>
        </w:numPr>
      </w:pPr>
      <w:r>
        <w:t xml:space="preserve">standalone packaging;</w:t>
      </w:r>
    </w:p>
    <w:p>
      <w:pPr>
        <w:pStyle w:val="Compact"/>
        <w:numPr>
          <w:ilvl w:val="0"/>
          <w:numId w:val="1048"/>
        </w:numPr>
      </w:pPr>
      <w:r>
        <w:t xml:space="preserve">formal JSON Schema.</w:t>
      </w:r>
    </w:p>
    <w:bookmarkEnd w:id="146"/>
    <w:bookmarkEnd w:id="147"/>
    <w:bookmarkStart w:id="155" w:name="instructions-for-codex-review"/>
    <w:p>
      <w:pPr>
        <w:pStyle w:val="Heading1"/>
        <w:keepNext/>
        <w:keepLines/>
      </w:pPr>
      <w:r>
        <w:t xml:space="preserve">29. Instructions for Codex review</w:t>
      </w:r>
    </w:p>
    <w:p>
      <w:pPr>
        <w:pStyle w:val="FirstParagraph"/>
      </w:pPr>
      <w:r>
        <w:t xml:space="preserve">When this document and the AOVGuard ZIP/repository are provided to Codex, the following review should be requested.</w:t>
      </w:r>
    </w:p>
    <w:bookmarkStart w:id="148" w:name="codex-should-verify"/>
    <w:p>
      <w:pPr>
        <w:pStyle w:val="Heading2"/>
        <w:keepNext/>
        <w:keepLines/>
      </w:pPr>
      <w:r>
        <w:t xml:space="preserve">Codex should verify</w:t>
      </w:r>
    </w:p>
    <w:p>
      <w:pPr>
        <w:pStyle w:val="Compact"/>
        <w:numPr>
          <w:ilvl w:val="0"/>
          <w:numId w:val="1049"/>
        </w:numPr>
      </w:pPr>
      <w:r>
        <w:t xml:space="preserve">Every implementation claim in this document against the current source code.</w:t>
      </w:r>
    </w:p>
    <w:p>
      <w:pPr>
        <w:pStyle w:val="Compact"/>
        <w:numPr>
          <w:ilvl w:val="0"/>
          <w:numId w:val="1049"/>
        </w:numPr>
      </w:pPr>
      <w:r>
        <w:t xml:space="preserve">File paths, class names, function names and line references where practical.</w:t>
      </w:r>
    </w:p>
    <w:p>
      <w:pPr>
        <w:pStyle w:val="Compact"/>
        <w:numPr>
          <w:ilvl w:val="0"/>
          <w:numId w:val="1049"/>
        </w:numPr>
      </w:pPr>
      <w:r>
        <w:t xml:space="preserve">Whether the listed rule behaviour matches</w:t>
      </w:r>
      <w:r>
        <w:t xml:space="preserve"> </w:t>
      </w:r>
      <w:r>
        <w:rPr>
          <w:rStyle w:val="VerbatimChar"/>
        </w:rPr>
        <w:t xml:space="preserve">rules/builtin.py</w:t>
      </w:r>
      <w:r>
        <w:t xml:space="preserve"> </w:t>
      </w:r>
      <w:r>
        <w:t xml:space="preserve">and the presets/loader.</w:t>
      </w:r>
    </w:p>
    <w:p>
      <w:pPr>
        <w:pStyle w:val="Compact"/>
        <w:numPr>
          <w:ilvl w:val="0"/>
          <w:numId w:val="1049"/>
        </w:numPr>
      </w:pPr>
      <w:r>
        <w:t xml:space="preserve">Whether AOV inference statements match</w:t>
      </w:r>
      <w:r>
        <w:t xml:space="preserve"> </w:t>
      </w:r>
      <w:r>
        <w:rPr>
          <w:rStyle w:val="VerbatimChar"/>
        </w:rPr>
        <w:t xml:space="preserve">io/inspector.py</w:t>
      </w:r>
      <w:r>
        <w:t xml:space="preserve">.</w:t>
      </w:r>
    </w:p>
    <w:p>
      <w:pPr>
        <w:pStyle w:val="Compact"/>
        <w:numPr>
          <w:ilvl w:val="0"/>
          <w:numId w:val="1049"/>
        </w:numPr>
      </w:pPr>
      <w:r>
        <w:t xml:space="preserve">Whether canonical RGB construction and channel ordering match</w:t>
      </w:r>
      <w:r>
        <w:t xml:space="preserve"> </w:t>
      </w:r>
      <w:r>
        <w:rPr>
          <w:rStyle w:val="VerbatimChar"/>
        </w:rPr>
        <w:t xml:space="preserve">io/reader.py</w:t>
      </w:r>
      <w:r>
        <w:t xml:space="preserve">.</w:t>
      </w:r>
    </w:p>
    <w:p>
      <w:pPr>
        <w:pStyle w:val="Compact"/>
        <w:numPr>
          <w:ilvl w:val="0"/>
          <w:numId w:val="1049"/>
        </w:numPr>
      </w:pPr>
      <w:r>
        <w:t xml:space="preserve">Whether CLI and GUI really use the same analysis path and whether any duplicated validation logic remains.</w:t>
      </w:r>
    </w:p>
    <w:p>
      <w:pPr>
        <w:pStyle w:val="Compact"/>
        <w:numPr>
          <w:ilvl w:val="0"/>
          <w:numId w:val="1049"/>
        </w:numPr>
      </w:pPr>
      <w:r>
        <w:t xml:space="preserve">Whether frame discovery is performed once and reused consistently.</w:t>
      </w:r>
    </w:p>
    <w:p>
      <w:pPr>
        <w:pStyle w:val="Compact"/>
        <w:numPr>
          <w:ilvl w:val="0"/>
          <w:numId w:val="1049"/>
        </w:numPr>
      </w:pPr>
      <w:r>
        <w:t xml:space="preserve">Whether sequence gaps/duplicates/padding are fully implemented and correctly reported.</w:t>
      </w:r>
    </w:p>
    <w:p>
      <w:pPr>
        <w:pStyle w:val="Compact"/>
        <w:numPr>
          <w:ilvl w:val="0"/>
          <w:numId w:val="1049"/>
        </w:numPr>
      </w:pPr>
      <w:r>
        <w:t xml:space="preserve">Whether the JSON report is strict and schema-versioned as described.</w:t>
      </w:r>
    </w:p>
    <w:p>
      <w:pPr>
        <w:pStyle w:val="Compact"/>
        <w:numPr>
          <w:ilvl w:val="0"/>
          <w:numId w:val="1049"/>
        </w:numPr>
      </w:pPr>
      <w:r>
        <w:t xml:space="preserve">Whether report fields accurately distinguish discovered, processed/successful and failed frames.</w:t>
      </w:r>
    </w:p>
    <w:p>
      <w:pPr>
        <w:pStyle w:val="Compact"/>
        <w:numPr>
          <w:ilvl w:val="0"/>
          <w:numId w:val="1049"/>
        </w:numPr>
      </w:pPr>
      <w:r>
        <w:t xml:space="preserve">Whether the benchmark script and JSON support every performance claim made here.</w:t>
      </w:r>
    </w:p>
    <w:p>
      <w:pPr>
        <w:pStyle w:val="Compact"/>
        <w:numPr>
          <w:ilvl w:val="0"/>
          <w:numId w:val="1049"/>
        </w:numPr>
      </w:pPr>
      <w:r>
        <w:t xml:space="preserve">Whether any benchmark comparison accidentally changes computation/output between strategies.</w:t>
      </w:r>
    </w:p>
    <w:p>
      <w:pPr>
        <w:pStyle w:val="Compact"/>
        <w:numPr>
          <w:ilvl w:val="0"/>
          <w:numId w:val="1049"/>
        </w:numPr>
      </w:pPr>
      <w:r>
        <w:t xml:space="preserve">Whether the test count/coverage documentation matches the final test configuration.</w:t>
      </w:r>
    </w:p>
    <w:p>
      <w:pPr>
        <w:pStyle w:val="Compact"/>
        <w:numPr>
          <w:ilvl w:val="0"/>
          <w:numId w:val="1049"/>
        </w:numPr>
      </w:pPr>
      <w:r>
        <w:t xml:space="preserve">Whether legacy modules can influence current CLI/GUI behaviour unexpectedly.</w:t>
      </w:r>
    </w:p>
    <w:p>
      <w:pPr>
        <w:pStyle w:val="Compact"/>
        <w:numPr>
          <w:ilvl w:val="0"/>
          <w:numId w:val="1049"/>
        </w:numPr>
      </w:pPr>
      <w:r>
        <w:t xml:space="preserve">Whether current documentation contains additional stale statements not listed here.</w:t>
      </w:r>
    </w:p>
    <w:p>
      <w:pPr>
        <w:pStyle w:val="Compact"/>
        <w:numPr>
          <w:ilvl w:val="0"/>
          <w:numId w:val="1049"/>
        </w:numPr>
      </w:pPr>
      <w:r>
        <w:t xml:space="preserve">Whether</w:t>
      </w:r>
      <w:r>
        <w:t xml:space="preserve"> </w:t>
      </w:r>
      <w:r>
        <w:rPr>
          <w:rStyle w:val="VerbatimChar"/>
        </w:rPr>
        <w:t xml:space="preserve">pyproject.toml</w:t>
      </w:r>
      <w:r>
        <w:t xml:space="preserve">, README, docs, website and changelog describe the same project maturity and supported Python range.</w:t>
      </w:r>
    </w:p>
    <w:p>
      <w:pPr>
        <w:pStyle w:val="Compact"/>
        <w:numPr>
          <w:ilvl w:val="0"/>
          <w:numId w:val="1049"/>
        </w:numPr>
      </w:pPr>
      <w:r>
        <w:t xml:space="preserve">Whether any important edge cases are untested despite high coverage.</w:t>
      </w:r>
    </w:p>
    <w:p>
      <w:pPr>
        <w:pStyle w:val="Compact"/>
        <w:numPr>
          <w:ilvl w:val="0"/>
          <w:numId w:val="1049"/>
        </w:numPr>
      </w:pPr>
      <w:r>
        <w:t xml:space="preserve">Whether deep/multipart rejection is explicit and safe.</w:t>
      </w:r>
    </w:p>
    <w:p>
      <w:pPr>
        <w:pStyle w:val="Compact"/>
        <w:numPr>
          <w:ilvl w:val="0"/>
          <w:numId w:val="1049"/>
        </w:numPr>
      </w:pPr>
      <w:r>
        <w:t xml:space="preserve">Whether any current rule can produce misleading results for non-colour AOVs.</w:t>
      </w:r>
    </w:p>
    <w:p>
      <w:pPr>
        <w:pStyle w:val="Compact"/>
        <w:numPr>
          <w:ilvl w:val="0"/>
          <w:numId w:val="1049"/>
        </w:numPr>
      </w:pPr>
      <w:r>
        <w:t>The CLI/GUI report-equivalence integration test has been added and now provides direct evidence for RQ3.</w:t>
      </w:r>
    </w:p>
    <w:bookmarkEnd w:id="148"/>
    <w:bookmarkStart w:id="149" w:name="codex-should-not-automatically-do"/>
    <w:p>
      <w:pPr>
        <w:pStyle w:val="Heading2"/>
        <w:keepNext/>
        <w:keepLines/>
      </w:pPr>
      <w:r>
        <w:t xml:space="preserve">Codex should NOT automatically do</w:t>
      </w:r>
    </w:p>
    <w:p>
      <w:pPr>
        <w:pStyle w:val="Compact"/>
        <w:numPr>
          <w:ilvl w:val="0"/>
          <w:numId w:val="1050"/>
        </w:numPr>
      </w:pPr>
      <w:r>
        <w:t xml:space="preserve">do not add new major features;</w:t>
      </w:r>
    </w:p>
    <w:p>
      <w:pPr>
        <w:pStyle w:val="Compact"/>
        <w:numPr>
          <w:ilvl w:val="0"/>
          <w:numId w:val="1050"/>
        </w:numPr>
      </w:pPr>
      <w:r>
        <w:t xml:space="preserve">do not refactor architecture merely for style;</w:t>
      </w:r>
    </w:p>
    <w:p>
      <w:pPr>
        <w:pStyle w:val="Compact"/>
        <w:numPr>
          <w:ilvl w:val="0"/>
          <w:numId w:val="1050"/>
        </w:numPr>
      </w:pPr>
      <w:r>
        <w:t xml:space="preserve">do not replace OpenEXR with OpenImageIO;</w:t>
      </w:r>
    </w:p>
    <w:p>
      <w:pPr>
        <w:pStyle w:val="Compact"/>
        <w:numPr>
          <w:ilvl w:val="0"/>
          <w:numId w:val="1050"/>
        </w:numPr>
      </w:pPr>
      <w:r>
        <w:t xml:space="preserve">do not add deep/multipart support;</w:t>
      </w:r>
    </w:p>
    <w:p>
      <w:pPr>
        <w:pStyle w:val="Compact"/>
        <w:numPr>
          <w:ilvl w:val="0"/>
          <w:numId w:val="1050"/>
        </w:numPr>
      </w:pPr>
      <w:r>
        <w:t xml:space="preserve">do not change thresholds without evidence;</w:t>
      </w:r>
    </w:p>
    <w:p>
      <w:pPr>
        <w:pStyle w:val="Compact"/>
        <w:numPr>
          <w:ilvl w:val="0"/>
          <w:numId w:val="1050"/>
        </w:numPr>
      </w:pPr>
      <w:r>
        <w:t xml:space="preserve">do not change research claims silently;</w:t>
      </w:r>
    </w:p>
    <w:p>
      <w:pPr>
        <w:pStyle w:val="Compact"/>
        <w:numPr>
          <w:ilvl w:val="0"/>
          <w:numId w:val="1050"/>
        </w:numPr>
      </w:pPr>
      <w:r>
        <w:t xml:space="preserve">do not modify code unless explicitly asked after the review.</w:t>
      </w:r>
    </w:p>
    <w:bookmarkEnd w:id="149"/>
    <w:bookmarkStart w:id="154" w:name="preferred-codex-output"/>
    <w:p>
      <w:pPr>
        <w:pStyle w:val="Heading2"/>
        <w:keepNext/>
        <w:keepLines/>
      </w:pPr>
      <w:r>
        <w:t xml:space="preserve">Preferred Codex output</w:t>
      </w:r>
    </w:p>
    <w:p>
      <w:pPr>
        <w:pStyle w:val="FirstParagraph"/>
      </w:pPr>
      <w:r>
        <w:t xml:space="preserve">Ask Codex to return findings in four categories:</w:t>
      </w:r>
    </w:p>
    <w:bookmarkStart w:id="150" w:name="a.-confirmed"/>
    <w:p>
      <w:pPr>
        <w:pStyle w:val="Heading3"/>
        <w:keepNext/>
        <w:keepLines/>
      </w:pPr>
      <w:r>
        <w:t xml:space="preserve">A. Confirmed</w:t>
      </w:r>
    </w:p>
    <w:p>
      <w:pPr>
        <w:pStyle w:val="FirstParagraph"/>
      </w:pPr>
      <w:r>
        <w:t xml:space="preserve">Statements in this document fully supported by code/evidence.</w:t>
      </w:r>
    </w:p>
    <w:bookmarkEnd w:id="150"/>
    <w:bookmarkStart w:id="151" w:name="b.-inconsistent-or-incorrect"/>
    <w:p>
      <w:pPr>
        <w:pStyle w:val="Heading3"/>
        <w:keepNext/>
        <w:keepLines/>
      </w:pPr>
      <w:r>
        <w:t xml:space="preserve">B. Inconsistent or incorrect</w:t>
      </w:r>
    </w:p>
    <w:p>
      <w:pPr>
        <w:pStyle w:val="FirstParagraph"/>
      </w:pPr>
      <w:r>
        <w:t xml:space="preserve">Documentation/analysis claims that do not match the repository, with exact file/function references.</w:t>
      </w:r>
    </w:p>
    <w:bookmarkEnd w:id="151"/>
    <w:bookmarkStart w:id="152" w:name="c.-evidence-gap"/>
    <w:p>
      <w:pPr>
        <w:pStyle w:val="Heading3"/>
        <w:keepNext/>
        <w:keepLines/>
      </w:pPr>
      <w:r>
        <w:t xml:space="preserve">C. Evidence gap</w:t>
      </w:r>
    </w:p>
    <w:p>
      <w:pPr>
        <w:pStyle w:val="FirstParagraph"/>
      </w:pPr>
      <w:r>
        <w:t xml:space="preserve">Claims that may be reasonable but are not directly demonstrated by tests, data or experiments.</w:t>
      </w:r>
    </w:p>
    <w:bookmarkEnd w:id="152"/>
    <w:bookmarkStart w:id="153" w:name="d.-recommended-pre-submission-action"/>
    <w:p>
      <w:pPr>
        <w:pStyle w:val="Heading3"/>
        <w:keepNext/>
        <w:keepLines/>
      </w:pPr>
      <w:r>
        <w:t xml:space="preserve">D. Recommended pre-submission action</w:t>
      </w:r>
    </w:p>
    <w:p>
      <w:pPr>
        <w:pStyle w:val="FirstParagraph"/>
      </w:pPr>
      <w:r>
        <w:t xml:space="preserve">Only high-value changes that improve correctness, evidence, documentation consistency or reproducibility without expanding project scope.</w:t>
      </w:r>
    </w:p>
    <w:bookmarkEnd w:id="153"/>
    <w:bookmarkEnd w:id="154"/>
    <w:bookmarkEnd w:id="155"/>
    <w:bookmarkStart w:id="156" w:name="Xa94736e89d89aa30689e66030ccc0b979c9effb"/>
    <w:p>
      <w:pPr>
        <w:pStyle w:val="Heading1"/>
        <w:keepNext/>
        <w:keepLines/>
      </w:pPr>
      <w:r>
        <w:t xml:space="preserve">30. Suggested prompt to give Codex with this document and the ZIP</w:t>
      </w:r>
    </w:p>
    <w:p>
      <w:pPr>
        <w:pStyle w:val="SourceCode"/>
      </w:pPr>
      <w:r>
        <w:rPr>
          <w:rStyle w:val="VerbatimChar"/>
        </w:rPr>
        <w:t xml:space="preserve">Act as a senior VFX Pipeline TD, Python software reviewer and MSc technical-project examiner.</w:t>
      </w:r>
      <w:r>
        <w:br/>
      </w:r>
      <w:r>
        <w:br/>
      </w:r>
      <w:r>
        <w:rPr>
          <w:rStyle w:val="VerbatimChar"/>
        </w:rPr>
        <w:t xml:space="preserve">I am providing:</w:t>
      </w:r>
      <w:r>
        <w:br/>
      </w:r>
      <w:r>
        <w:rPr>
          <w:rStyle w:val="VerbatimChar"/>
        </w:rPr>
        <w:t xml:space="preserve">1. the current AOVGuard release/repository;</w:t>
      </w:r>
      <w:r>
        <w:br/>
      </w:r>
      <w:r>
        <w:rPr>
          <w:rStyle w:val="VerbatimChar"/>
        </w:rPr>
        <w:t xml:space="preserve">2. a technical and academic review document describing the project, evidence and references.</w:t>
      </w:r>
      <w:r>
        <w:br/>
      </w:r>
      <w:r>
        <w:br/>
      </w:r>
      <w:r>
        <w:rPr>
          <w:rStyle w:val="VerbatimChar"/>
        </w:rPr>
        <w:t xml:space="preserve">Treat the repository as the primary source of truth for implementation. Do not assume that the review document is correct. Verify it.</w:t>
      </w:r>
      <w:r>
        <w:br/>
      </w:r>
      <w:r>
        <w:br/>
      </w:r>
      <w:r>
        <w:rPr>
          <w:rStyle w:val="VerbatimChar"/>
        </w:rPr>
        <w:t xml:space="preserve">Tasks:</w:t>
      </w:r>
      <w:r>
        <w:br/>
      </w:r>
      <w:r>
        <w:rPr>
          <w:rStyle w:val="VerbatimChar"/>
        </w:rPr>
        <w:t xml:space="preserve">- Audit the full current codebase, tests, configuration, CI, documentation, benchmark and sample reports.</w:t>
      </w:r>
      <w:r>
        <w:br/>
      </w:r>
      <w:r>
        <w:rPr>
          <w:rStyle w:val="VerbatimChar"/>
        </w:rPr>
        <w:t xml:space="preserve">- Compare every material claim in the review document with the actual implementation.</w:t>
      </w:r>
      <w:r>
        <w:br/>
      </w:r>
      <w:r>
        <w:rPr>
          <w:rStyle w:val="VerbatimChar"/>
        </w:rPr>
        <w:t xml:space="preserve">- Identify stale or contradictory claims across README, docs, changelog, website, pyproject.toml and tests.</w:t>
      </w:r>
      <w:r>
        <w:br/>
      </w:r>
      <w:r>
        <w:rPr>
          <w:rStyle w:val="VerbatimChar"/>
        </w:rPr>
        <w:t xml:space="preserve">- Verify the frame-first architecture and benchmark methodology.</w:t>
      </w:r>
      <w:r>
        <w:br/>
      </w:r>
      <w:r>
        <w:rPr>
          <w:rStyle w:val="VerbatimChar"/>
        </w:rPr>
        <w:t xml:space="preserve">- Verify the rule system and AOV classification behaviour.</w:t>
      </w:r>
      <w:r>
        <w:br/>
      </w:r>
      <w:r>
        <w:rPr>
          <w:rStyle w:val="VerbatimChar"/>
        </w:rPr>
        <w:t xml:space="preserve">- Verify that CLI and GUI share the analysis backend and identify any remaining duplicated behaviour.</w:t>
      </w:r>
      <w:r>
        <w:br/>
      </w:r>
      <w:r>
        <w:rPr>
          <w:rStyle w:val="VerbatimChar"/>
        </w:rPr>
        <w:t xml:space="preserve">- Review tests for important missing edge cases, but do not judge test quality from coverage alone.</w:t>
      </w:r>
      <w:r>
        <w:br/>
      </w:r>
      <w:r>
        <w:rPr>
          <w:rStyle w:val="VerbatimChar"/>
        </w:rPr>
        <w:t xml:space="preserve">- Check whether the academic positioning is technically accurate and avoids overstating novelty.</w:t>
      </w:r>
      <w:r>
        <w:br/>
      </w:r>
      <w:r>
        <w:rPr>
          <w:rStyle w:val="VerbatimChar"/>
        </w:rPr>
        <w:t xml:space="preserve">- Treat external references as conceptual/technical support; do not claim they prove AOVGuard-specific results.</w:t>
      </w:r>
      <w:r>
        <w:br/>
      </w:r>
      <w:r>
        <w:rPr>
          <w:rStyle w:val="VerbatimChar"/>
        </w:rPr>
        <w:t xml:space="preserve">- Separate confirmed implementation, recorded evidence, interpretation and future work.</w:t>
      </w:r>
      <w:r>
        <w:br/>
      </w:r>
      <w:r>
        <w:rPr>
          <w:rStyle w:val="VerbatimChar"/>
        </w:rPr>
        <w:t xml:space="preserve">- Do not modify the code unless I explicitly ask you to after the audit.</w:t>
      </w:r>
      <w:r>
        <w:br/>
      </w:r>
      <w:r>
        <w:br/>
      </w:r>
      <w:r>
        <w:rPr>
          <w:rStyle w:val="VerbatimChar"/>
        </w:rPr>
        <w:t xml:space="preserve">Return:</w:t>
      </w:r>
      <w:r>
        <w:br/>
      </w:r>
      <w:r>
        <w:rPr>
          <w:rStyle w:val="VerbatimChar"/>
        </w:rPr>
        <w:t xml:space="preserve">1. Executive assessment.</w:t>
      </w:r>
      <w:r>
        <w:br/>
      </w:r>
      <w:r>
        <w:rPr>
          <w:rStyle w:val="VerbatimChar"/>
        </w:rPr>
        <w:t xml:space="preserve">2. Confirmed claims.</w:t>
      </w:r>
      <w:r>
        <w:br/>
      </w:r>
      <w:r>
        <w:rPr>
          <w:rStyle w:val="VerbatimChar"/>
        </w:rPr>
        <w:t xml:space="preserve">3. Incorrect/inconsistent claims, with file/function/line references.</w:t>
      </w:r>
      <w:r>
        <w:br/>
      </w:r>
      <w:r>
        <w:rPr>
          <w:rStyle w:val="VerbatimChar"/>
        </w:rPr>
        <w:t xml:space="preserve">4. Missing evidence or weak claims.</w:t>
      </w:r>
      <w:r>
        <w:br/>
      </w:r>
      <w:r>
        <w:rPr>
          <w:rStyle w:val="VerbatimChar"/>
        </w:rPr>
        <w:t xml:space="preserve">5. Testing/benchmark concerns.</w:t>
      </w:r>
      <w:r>
        <w:br/>
      </w:r>
      <w:r>
        <w:rPr>
          <w:rStyle w:val="VerbatimChar"/>
        </w:rPr>
        <w:t xml:space="preserve">6. Documentation corrections.</w:t>
      </w:r>
      <w:r>
        <w:br/>
      </w:r>
      <w:r>
        <w:rPr>
          <w:rStyle w:val="VerbatimChar"/>
        </w:rPr>
        <w:t xml:space="preserve">7. Academic/research-positioning risks.</w:t>
      </w:r>
      <w:r>
        <w:br/>
      </w:r>
      <w:r>
        <w:rPr>
          <w:rStyle w:val="VerbatimChar"/>
        </w:rPr>
        <w:t xml:space="preserve">8. A prioritised pre-submission checklist limited to high-value fixes.</w:t>
      </w:r>
    </w:p>
    <w:bookmarkEnd w:id="156"/>
    <w:bookmarkStart w:id="157" w:name="core-reference-list"/>
    <w:p>
      <w:pPr>
        <w:pStyle w:val="Heading1"/>
        <w:keepNext/>
        <w:keepLines/>
      </w:pPr>
      <w:r>
        <w:t xml:space="preserve">31. Core reference list</w:t>
      </w:r>
    </w:p>
    <w:p>
      <w:pPr>
        <w:pStyle w:val="FirstParagraph"/>
      </w:pPr>
      <w:r>
        <w:t xml:space="preserve">The following is the recommended core bibliography/further-reading set for the project. Final dissertation formatting should be checked in APA 7 against the university requirements and the actual edition accessed.</w:t>
      </w:r>
    </w:p>
    <w:p>
      <w:pPr>
        <w:pStyle w:val="Compact"/>
        <w:numPr>
          <w:ilvl w:val="0"/>
          <w:numId w:val="1051"/>
        </w:numPr>
      </w:pPr>
      <w:r>
        <w:t xml:space="preserve">Academy Software Foundation. (n.d.).</w:t>
      </w:r>
      <w:r>
        <w:t xml:space="preserve"> </w:t>
      </w:r>
      <w:r>
        <w:rPr>
          <w:i/>
          <w:iCs/>
        </w:rPr>
        <w:t xml:space="preserve">Technical introduction to OpenEXR</w:t>
      </w:r>
      <w:r>
        <w:t xml:space="preserve">. https://openexr.com/en/latest/TechnicalIntroduction.html</w:t>
      </w:r>
    </w:p>
    <w:p>
      <w:pPr>
        <w:pStyle w:val="Compact"/>
        <w:numPr>
          <w:ilvl w:val="0"/>
          <w:numId w:val="1051"/>
        </w:numPr>
      </w:pPr>
      <w:r>
        <w:t xml:space="preserve">Academy Software Foundation. (n.d.).</w:t>
      </w:r>
      <w:r>
        <w:t xml:space="preserve"> </w:t>
      </w:r>
      <w:r>
        <w:rPr>
          <w:i/>
          <w:iCs/>
        </w:rPr>
        <w:t xml:space="preserve">OpenEXR file layout</w:t>
      </w:r>
      <w:r>
        <w:t xml:space="preserve">. https://openexr.com/en/latest/OpenEXRFileLayout.html</w:t>
      </w:r>
    </w:p>
    <w:p>
      <w:pPr>
        <w:pStyle w:val="Compact"/>
        <w:numPr>
          <w:ilvl w:val="0"/>
          <w:numId w:val="1051"/>
        </w:numPr>
      </w:pPr>
      <w:r>
        <w:t xml:space="preserve">Academy Software Foundation. (n.d.).</w:t>
      </w:r>
      <w:r>
        <w:t xml:space="preserve"> </w:t>
      </w:r>
      <w:r>
        <w:rPr>
          <w:i/>
          <w:iCs/>
        </w:rPr>
        <w:t xml:space="preserve">The OpenEXR Python module</w:t>
      </w:r>
      <w:r>
        <w:t xml:space="preserve">. https://openexr.com/en/latest/python.html</w:t>
      </w:r>
    </w:p>
    <w:p>
      <w:pPr>
        <w:pStyle w:val="Compact"/>
        <w:numPr>
          <w:ilvl w:val="0"/>
          <w:numId w:val="1051"/>
        </w:numPr>
      </w:pPr>
      <w:r>
        <w:t xml:space="preserve">Debevec, P. E., &amp; Malik, J. (1997). Recovering high dynamic range radiance maps from photographs.</w:t>
      </w:r>
      <w:r>
        <w:t xml:space="preserve"> </w:t>
      </w:r>
      <w:r>
        <w:rPr>
          <w:i/>
          <w:iCs/>
        </w:rPr>
        <w:t xml:space="preserve">Proceedings of SIGGRAPH 1997</w:t>
      </w:r>
      <w:r>
        <w:t xml:space="preserve">, 369-378. ACM. https://doi.org/10.1145/258734.258884</w:t>
      </w:r>
    </w:p>
    <w:p>
      <w:pPr>
        <w:pStyle w:val="Compact"/>
        <w:numPr>
          <w:ilvl w:val="0"/>
          <w:numId w:val="1051"/>
        </w:numPr>
      </w:pPr>
      <w:r>
        <w:t xml:space="preserve">Reinhard, E., Heidrich, W., Debevec, P., Pattanaik, S., Ward, G., &amp; Myszkowski, K. (2010).</w:t>
      </w:r>
      <w:r>
        <w:t xml:space="preserve"> </w:t>
      </w:r>
      <w:r>
        <w:rPr>
          <w:i/>
          <w:iCs/>
        </w:rPr>
        <w:t xml:space="preserve">High dynamic range imaging: Acquisition, display, and image-based lighting</w:t>
      </w:r>
      <w:r>
        <w:t xml:space="preserve"> </w:t>
      </w:r>
      <w:r>
        <w:t xml:space="preserve">(2nd ed.). Morgan Kaufmann.</w:t>
      </w:r>
    </w:p>
    <w:p>
      <w:pPr>
        <w:pStyle w:val="Compact"/>
        <w:numPr>
          <w:ilvl w:val="0"/>
          <w:numId w:val="1051"/>
        </w:numPr>
      </w:pPr>
      <w:r>
        <w:t xml:space="preserve">International Telecommunication Union. (2015).</w:t>
      </w:r>
      <w:r>
        <w:t xml:space="preserve"> </w:t>
      </w:r>
      <w:r>
        <w:rPr>
          <w:i/>
          <w:iCs/>
        </w:rPr>
        <w:t xml:space="preserve">Recommendation ITU-R BT.709-6</w:t>
      </w:r>
      <w:r>
        <w:t xml:space="preserve">. https://www.itu.int/rec/R-REC-BT.709-6-201506-I/en</w:t>
      </w:r>
    </w:p>
    <w:p>
      <w:pPr>
        <w:pStyle w:val="Compact"/>
        <w:numPr>
          <w:ilvl w:val="0"/>
          <w:numId w:val="1051"/>
        </w:numPr>
      </w:pPr>
      <w:r>
        <w:t xml:space="preserve">International Telecommunication Union. (2011).</w:t>
      </w:r>
      <w:r>
        <w:t xml:space="preserve"> </w:t>
      </w:r>
      <w:r>
        <w:rPr>
          <w:i/>
          <w:iCs/>
        </w:rPr>
        <w:t xml:space="preserve">Recommendation ITU-R BT.601-7</w:t>
      </w:r>
      <w:r>
        <w:t xml:space="preserve">. https://www.itu.int/rec/R-REC-BT.601-7-201103-I/en</w:t>
      </w:r>
    </w:p>
    <w:p>
      <w:pPr>
        <w:pStyle w:val="Compact"/>
        <w:numPr>
          <w:ilvl w:val="0"/>
          <w:numId w:val="1051"/>
        </w:numPr>
      </w:pPr>
      <w:r>
        <w:t xml:space="preserve">Academy of Motion Picture Arts and Sciences. (n.d.).</w:t>
      </w:r>
      <w:r>
        <w:t xml:space="preserve"> </w:t>
      </w:r>
      <w:r>
        <w:rPr>
          <w:i/>
          <w:iCs/>
        </w:rPr>
        <w:t xml:space="preserve">ACES documentation</w:t>
      </w:r>
      <w:r>
        <w:t xml:space="preserve">. https://docs.acescentral.com/</w:t>
      </w:r>
    </w:p>
    <w:p>
      <w:pPr>
        <w:pStyle w:val="Compact"/>
        <w:numPr>
          <w:ilvl w:val="0"/>
          <w:numId w:val="1051"/>
        </w:numPr>
      </w:pPr>
      <w:r>
        <w:t xml:space="preserve">Academy Software Foundation. (n.d.).</w:t>
      </w:r>
      <w:r>
        <w:t xml:space="preserve"> </w:t>
      </w:r>
      <w:r>
        <w:rPr>
          <w:i/>
          <w:iCs/>
        </w:rPr>
        <w:t xml:space="preserve">OpenColorIO documentation</w:t>
      </w:r>
      <w:r>
        <w:t xml:space="preserve">. https://opencolorio.readthedocs.io/</w:t>
      </w:r>
    </w:p>
    <w:p>
      <w:pPr>
        <w:pStyle w:val="Compact"/>
        <w:numPr>
          <w:ilvl w:val="0"/>
          <w:numId w:val="1051"/>
        </w:numPr>
      </w:pPr>
      <w:r>
        <w:t xml:space="preserve">Alway, C., Nagle, P., &amp; Keech, G. (2018). Just get on with it: A managed approach to AOV manipulation.</w:t>
      </w:r>
      <w:r>
        <w:t xml:space="preserve"> </w:t>
      </w:r>
      <w:r>
        <w:rPr>
          <w:i/>
          <w:iCs/>
        </w:rPr>
        <w:t xml:space="preserve">Proceedings of the 8th Annual Digital Production Symposium</w:t>
      </w:r>
      <w:r>
        <w:t xml:space="preserve">. ACM. https://doi.org/10.1145/3233085.3233091</w:t>
      </w:r>
    </w:p>
    <w:p>
      <w:pPr>
        <w:pStyle w:val="Compact"/>
        <w:numPr>
          <w:ilvl w:val="0"/>
          <w:numId w:val="1051"/>
        </w:numPr>
      </w:pPr>
      <w:r>
        <w:t xml:space="preserve">Brinkmann, R. (2008).</w:t>
      </w:r>
      <w:r>
        <w:t xml:space="preserve"> </w:t>
      </w:r>
      <w:r>
        <w:rPr>
          <w:i/>
          <w:iCs/>
        </w:rPr>
        <w:t xml:space="preserve">The art and science of digital compositing</w:t>
      </w:r>
      <w:r>
        <w:t xml:space="preserve"> </w:t>
      </w:r>
      <w:r>
        <w:t xml:space="preserve">(2nd ed.). Morgan Kaufmann.</w:t>
      </w:r>
    </w:p>
    <w:p>
      <w:pPr>
        <w:pStyle w:val="Compact"/>
        <w:numPr>
          <w:ilvl w:val="0"/>
          <w:numId w:val="1051"/>
        </w:numPr>
      </w:pPr>
      <w:r>
        <w:t xml:space="preserve">Wright, S. (2024).</w:t>
      </w:r>
      <w:r>
        <w:t xml:space="preserve"> </w:t>
      </w:r>
      <w:r>
        <w:rPr>
          <w:i/>
          <w:iCs/>
        </w:rPr>
        <w:t xml:space="preserve">Digital compositing for film and video: Production workflows and techniques</w:t>
      </w:r>
      <w:r>
        <w:t xml:space="preserve"> </w:t>
      </w:r>
      <w:r>
        <w:t xml:space="preserve">(5th ed.). Routledge.</w:t>
      </w:r>
    </w:p>
    <w:p>
      <w:pPr>
        <w:pStyle w:val="Compact"/>
        <w:numPr>
          <w:ilvl w:val="0"/>
          <w:numId w:val="1051"/>
        </w:numPr>
      </w:pPr>
      <w:r>
        <w:t>Okun, J. A., Zwerman, S., &amp; Thurmond O’Neal, S. (Eds.). (2026). The VES handbook of visual effects (4th ed.). Routledge.</w:t>
      </w:r>
      <w:r/>
      <w:r>
        <w:rPr>
          <w:i/>
          <w:iCs/>
        </w:rPr>
      </w:r>
      <w:r/>
      <w:r/>
    </w:p>
    <w:p>
      <w:pPr>
        <w:pStyle w:val="Compact"/>
        <w:numPr>
          <w:ilvl w:val="0"/>
          <w:numId w:val="1051"/>
        </w:numPr>
      </w:pPr>
      <w:r>
        <w:t xml:space="preserve">Friedman, J., &amp; Jones, A. C. (2015). Fully automatic ID mattes with support for motion blur and transparency.</w:t>
      </w:r>
      <w:r>
        <w:t xml:space="preserve"> </w:t>
      </w:r>
      <w:r>
        <w:rPr>
          <w:i/>
          <w:iCs/>
        </w:rPr>
        <w:t xml:space="preserve">ACM SIGGRAPH 2015 Posters</w:t>
      </w:r>
      <w:r>
        <w:t xml:space="preserve">. ACM. https://doi.org/10.1145/2787626.2787629</w:t>
      </w:r>
    </w:p>
    <w:p>
      <w:pPr>
        <w:pStyle w:val="Compact"/>
        <w:numPr>
          <w:ilvl w:val="0"/>
          <w:numId w:val="1051"/>
        </w:numPr>
      </w:pPr>
      <w:r>
        <w:t xml:space="preserve">Hillman, P. (2018). A scheme for storing object ID manifests in OpenEXR images.</w:t>
      </w:r>
      <w:r>
        <w:t xml:space="preserve"> </w:t>
      </w:r>
      <w:r>
        <w:rPr>
          <w:i/>
          <w:iCs/>
        </w:rPr>
        <w:t xml:space="preserve">Proceedings of the 2018 Digital Production Symposium</w:t>
      </w:r>
      <w:r>
        <w:t xml:space="preserve">, 1-8. ACM. https://doi.org/10.1145/3233085.3233086</w:t>
      </w:r>
    </w:p>
    <w:p>
      <w:pPr>
        <w:pStyle w:val="Compact"/>
        <w:numPr>
          <w:ilvl w:val="0"/>
          <w:numId w:val="1051"/>
        </w:numPr>
      </w:pPr>
      <w:r>
        <w:t xml:space="preserve">Academy Software Foundation. (n.d.).</w:t>
      </w:r>
      <w:r>
        <w:t xml:space="preserve"> </w:t>
      </w:r>
      <w:r>
        <w:rPr>
          <w:i/>
          <w:iCs/>
        </w:rPr>
        <w:t xml:space="preserve">OpenImageIO documentation</w:t>
      </w:r>
      <w:r>
        <w:t xml:space="preserve">. https://openimageio.readthedocs.io/</w:t>
      </w:r>
    </w:p>
    <w:p>
      <w:pPr>
        <w:pStyle w:val="Compact"/>
        <w:numPr>
          <w:ilvl w:val="0"/>
          <w:numId w:val="1051"/>
        </w:numPr>
      </w:pPr>
      <w:r>
        <w:t xml:space="preserve">Academy Software Foundation. (n.d.).</w:t>
      </w:r>
      <w:r>
        <w:t xml:space="preserve"> </w:t>
      </w:r>
      <w:r>
        <w:rPr>
          <w:i/>
          <w:iCs/>
        </w:rPr>
        <w:t xml:space="preserve">oiiotool documentation</w:t>
      </w:r>
      <w:r>
        <w:t xml:space="preserve">. https://openimageio.readthedocs.io/en/latest/oiiotool.html</w:t>
      </w:r>
    </w:p>
    <w:p>
      <w:pPr>
        <w:pStyle w:val="Compact"/>
        <w:numPr>
          <w:ilvl w:val="0"/>
          <w:numId w:val="1051"/>
        </w:numPr>
      </w:pPr>
      <w:r>
        <w:t xml:space="preserve">Academy Software Foundation. (n.d.).</w:t>
      </w:r>
      <w:r>
        <w:t xml:space="preserve"> </w:t>
      </w:r>
      <w:r>
        <w:rPr>
          <w:i/>
          <w:iCs/>
        </w:rPr>
        <w:t xml:space="preserve">OpenEXR tools</w:t>
      </w:r>
      <w:r>
        <w:t xml:space="preserve">. https://openexr.com/en/latest/tools.html</w:t>
      </w:r>
    </w:p>
    <w:p>
      <w:pPr>
        <w:pStyle w:val="Compact"/>
        <w:numPr>
          <w:ilvl w:val="0"/>
          <w:numId w:val="1051"/>
        </w:numPr>
      </w:pPr>
      <w:r>
        <w:t xml:space="preserve">Cohen Bengio, J. F., Ogino, K., &amp; Robson, B. (2018). A holistic approach to asset quality and efficiency.</w:t>
      </w:r>
      <w:r>
        <w:t xml:space="preserve"> </w:t>
      </w:r>
      <w:r>
        <w:rPr>
          <w:i/>
          <w:iCs/>
        </w:rPr>
        <w:t xml:space="preserve">ACM SIGGRAPH 2018 Talks</w:t>
      </w:r>
      <w:r>
        <w:t xml:space="preserve">. ACM. https://doi.org/10.1145/3214745.3214791</w:t>
      </w:r>
    </w:p>
    <w:p>
      <w:pPr>
        <w:pStyle w:val="Compact"/>
        <w:numPr>
          <w:ilvl w:val="0"/>
          <w:numId w:val="1051"/>
        </w:numPr>
      </w:pPr>
      <w:r>
        <w:t>Murphy, E., Kurtz, M., &amp; Kilshaw, C. (2025). Integrated quality control: Improving production efficiency to achieve scale at DNEG Animation. Proceedings of the Digital Production Symposium. ACM. https://doi.org/10.1145/3744199.3744629</w:t>
      </w:r>
      <w:r/>
      <w:r>
        <w:rPr>
          <w:i/>
          <w:iCs/>
        </w:rPr>
      </w:r>
      <w:r/>
    </w:p>
    <w:p>
      <w:pPr>
        <w:pStyle w:val="Compact"/>
        <w:numPr>
          <w:ilvl w:val="0"/>
          <w:numId w:val="1051"/>
        </w:numPr>
      </w:pPr>
      <w:r>
        <w:t>Pearsall, C., Hardie, A., Sakr, M., &amp; Bigda, J. (2026, July 18). Automating the handoff: From hardcoded QC scripts to a multi-agent architecture for layout-to-animation reviews [Conference talk]. Digital Production Symposium. https://digiproconf.org/program/</w:t>
      </w:r>
      <w:r/>
      <w:r>
        <w:rPr>
          <w:i/>
          <w:iCs/>
        </w:rPr>
      </w:r>
      <w:r/>
    </w:p>
    <w:p>
      <w:pPr>
        <w:pStyle w:val="Compact"/>
        <w:numPr>
          <w:ilvl w:val="0"/>
          <w:numId w:val="1051"/>
        </w:numPr>
      </w:pPr>
      <w:r>
        <w:t xml:space="preserve">Pyblish. (n.d.).</w:t>
      </w:r>
      <w:r>
        <w:t xml:space="preserve"> </w:t>
      </w:r>
      <w:r>
        <w:rPr>
          <w:i/>
          <w:iCs/>
        </w:rPr>
        <w:t xml:space="preserve">Pyblish by Example</w:t>
      </w:r>
      <w:r>
        <w:t xml:space="preserve">. https://learn.pyblish.com/</w:t>
      </w:r>
    </w:p>
    <w:p>
      <w:pPr>
        <w:pStyle w:val="Compact"/>
        <w:numPr>
          <w:ilvl w:val="0"/>
          <w:numId w:val="1051"/>
        </w:numPr>
      </w:pPr>
      <w:r>
        <w:t xml:space="preserve">Haddon, J., Kaufman, A., Minor, D., Dresser, D., Imanishi, I., &amp; Nogueira, P. (2016). Gaffer: An open-source application framework for VFX.</w:t>
      </w:r>
      <w:r>
        <w:t xml:space="preserve"> </w:t>
      </w:r>
      <w:r>
        <w:rPr>
          <w:i/>
          <w:iCs/>
        </w:rPr>
        <w:t xml:space="preserve">Proceedings of the 2016 Symposium on Digital Production</w:t>
      </w:r>
      <w:r>
        <w:t xml:space="preserve">, 31-42. ACM. https://doi.org/10.1145/2947688.2947696</w:t>
      </w:r>
    </w:p>
    <w:p>
      <w:pPr>
        <w:pStyle w:val="Compact"/>
        <w:numPr>
          <w:ilvl w:val="0"/>
          <w:numId w:val="1051"/>
        </w:numPr>
      </w:pPr>
      <w:r>
        <w:t xml:space="preserve">International Organization for Standardization. (2023).</w:t>
      </w:r>
      <w:r>
        <w:t xml:space="preserve"> </w:t>
      </w:r>
      <w:r>
        <w:rPr>
          <w:i/>
          <w:iCs/>
        </w:rPr>
        <w:t xml:space="preserve">ISO/IEC 25010:2023</w:t>
      </w:r>
      <w:r>
        <w:t xml:space="preserve">. https://www.iso.org/standard/78176.html</w:t>
      </w:r>
    </w:p>
    <w:p>
      <w:pPr>
        <w:pStyle w:val="Compact"/>
        <w:numPr>
          <w:ilvl w:val="0"/>
          <w:numId w:val="1051"/>
        </w:numPr>
      </w:pPr>
      <w:r>
        <w:t>Wohlin, C., Runeson, P., Höst, M., Ohlsson, M. C., Regnell, B., &amp; Wesslén, A. (2024). Experimentation in software engineering (2nd ed.). Springer. https://doi.org/10.1007/978-3-662-69306-3</w:t>
      </w:r>
      <w:r/>
      <w:r>
        <w:rPr>
          <w:i/>
          <w:iCs/>
        </w:rPr>
      </w:r>
      <w:r/>
      <w:r/>
    </w:p>
    <w:p>
      <w:pPr>
        <w:pStyle w:val="Compact"/>
        <w:numPr>
          <w:ilvl w:val="0"/>
          <w:numId w:val="1051"/>
        </w:numPr>
      </w:pPr>
      <w:r>
        <w:t>Kalibera, T., &amp; Jones, R. E. (2013). Rigorous benchmarking in reasonable time. Proceedings of the 2013 International Symposium on Memory Management, 63-74. ACM. https://doi.org/10.1145/2464157.2464160</w:t>
      </w:r>
      <w:r/>
      <w:r>
        <w:rPr>
          <w:i/>
          <w:iCs/>
        </w:rPr>
      </w:r>
      <w:r/>
    </w:p>
    <w:p>
      <w:pPr>
        <w:pStyle w:val="Compact"/>
        <w:numPr>
          <w:ilvl w:val="0"/>
          <w:numId w:val="1051"/>
        </w:numPr>
      </w:pPr>
      <w:r>
        <w:t xml:space="preserve">Inozemtseva, L., &amp; Holmes, R. (2014). Coverage is not strongly correlated with test suite effectiveness.</w:t>
      </w:r>
      <w:r>
        <w:t xml:space="preserve"> </w:t>
      </w:r>
      <w:r>
        <w:rPr>
          <w:i/>
          <w:iCs/>
        </w:rPr>
        <w:t xml:space="preserve">Proceedings of the 36th International Conference on Software Engineering</w:t>
      </w:r>
      <w:r>
        <w:t xml:space="preserve">, 435-445. ACM. https://doi.org/10.1145/2568225.2568271</w:t>
      </w:r>
    </w:p>
    <w:p>
      <w:pPr>
        <w:pStyle w:val="Compact"/>
        <w:numPr>
          <w:ilvl w:val="0"/>
          <w:numId w:val="1051"/>
        </w:numPr>
      </w:pPr>
      <w:r>
        <w:t>Ammann, P., &amp; Offutt, J. (2017). Introduction to software testing (2nd ed.). Cambridge University Press. https://doi.org/10.1017/9781316771273</w:t>
      </w:r>
      <w:r/>
      <w:r>
        <w:rPr>
          <w:i/>
          <w:iCs/>
        </w:rPr>
      </w:r>
      <w:r/>
      <w:r/>
    </w:p>
    <w:p>
      <w:pPr>
        <w:pStyle w:val="Compact"/>
        <w:numPr>
          <w:ilvl w:val="0"/>
          <w:numId w:val="1051"/>
        </w:numPr>
      </w:pPr>
      <w:r>
        <w:t xml:space="preserve">Brooke, J. (1996). SUS: A</w:t>
      </w:r>
      <w:r>
        <w:t xml:space="preserve"> </w:t>
      </w:r>
      <w:r>
        <w:t xml:space="preserve">“</w:t>
      </w:r>
      <w:r>
        <w:t xml:space="preserve">quick and dirty</w:t>
      </w:r>
      <w:r>
        <w:t xml:space="preserve">”</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 [Use only if a user study is actually conducted.]</w:t>
      </w:r>
    </w:p>
    <w:p>
      <w:pPr>
        <w:pStyle w:val="Compact"/>
        <w:numPr>
          <w:ilvl w:val="0"/>
          <w:numId w:val="1051"/>
        </w:numPr>
      </w:pPr>
      <w:r>
        <w:t xml:space="preserve">VFX Reference Platform. (2026).</w:t>
      </w:r>
      <w:r>
        <w:t xml:space="preserve"> </w:t>
      </w:r>
      <w:r>
        <w:rPr>
          <w:i/>
          <w:iCs/>
        </w:rPr>
        <w:t xml:space="preserve">CY2026 Reference Platform</w:t>
      </w:r>
      <w:r>
        <w:t xml:space="preserve">. https://vfxplatform.com/</w:t>
      </w:r>
    </w:p>
    <w:p>
      <w:pPr>
        <w:pStyle w:val="Compact"/>
        <w:numPr>
          <w:ilvl w:val="0"/>
          <w:numId w:val="1051"/>
        </w:numPr>
      </w:pPr>
      <w:r>
        <w:t xml:space="preserve">Qt Group. (n.d.).</w:t>
      </w:r>
      <w:r>
        <w:t xml:space="preserve"> </w:t>
      </w:r>
      <w:r>
        <w:rPr>
          <w:i/>
          <w:iCs/>
        </w:rPr>
        <w:t xml:space="preserve">Qt for Python / PySide6 documentation</w:t>
      </w:r>
      <w:r>
        <w:t xml:space="preserve">. https://doc.qt.io/qtforpython-6/</w:t>
      </w:r>
    </w:p>
    <w:p>
      <w:pPr>
        <w:pStyle w:val="Compact"/>
        <w:numPr>
          <w:ilvl w:val="0"/>
          <w:numId w:val="1051"/>
        </w:numPr>
      </w:pPr>
      <w:r>
        <w:t xml:space="preserve">pytest. (n.d.).</w:t>
      </w:r>
      <w:r>
        <w:t xml:space="preserve"> </w:t>
      </w:r>
      <w:r>
        <w:rPr>
          <w:i/>
          <w:iCs/>
        </w:rPr>
        <w:t xml:space="preserve">pytest documentation</w:t>
      </w:r>
      <w:r>
        <w:t xml:space="preserve">. https://docs.pytest.org/</w:t>
      </w:r>
    </w:p>
    <w:bookmarkEnd w:id="157"/>
    <w:bookmarkStart w:id="158" w:name="final-assessment"/>
    <w:p>
      <w:pPr>
        <w:pStyle w:val="Heading1"/>
        <w:keepNext/>
        <w:keepLines/>
      </w:pPr>
      <w:r>
        <w:t xml:space="preserve">32. Final assessment</w:t>
      </w:r>
    </w:p>
    <w:p>
      <w:pPr>
        <w:pStyle w:val="FirstParagraph"/>
      </w:pPr>
      <w:r>
        <w:t xml:space="preserve">AOVGuard 2.0 has a defensible MSc contribution because the project does more than expose a GUI around an image library. The release contains a coherent domain model, an automatic structural inspection layer, configurable validation, sequence-level checks, shared interfaces, reproducible reporting and an experimentally evaluated processing decision.</w:t>
      </w:r>
    </w:p>
    <w:p>
      <w:pPr>
        <w:pStyle w:val="BodyText"/>
      </w:pPr>
      <w:r>
        <w:t xml:space="preserve">The strongest academic strategy is to be explicit about what is</w:t>
      </w:r>
      <w:r>
        <w:t xml:space="preserve"> </w:t>
      </w:r>
      <w:r>
        <w:rPr>
          <w:b/>
          <w:bCs/>
        </w:rPr>
        <w:t xml:space="preserve">known technology</w:t>
      </w:r>
      <w:r>
        <w:t xml:space="preserve">, what is</w:t>
      </w:r>
      <w:r>
        <w:t xml:space="preserve"> </w:t>
      </w:r>
      <w:r>
        <w:rPr>
          <w:b/>
          <w:bCs/>
        </w:rPr>
        <w:t xml:space="preserve">AOVGuard engineering</w:t>
      </w:r>
      <w:r>
        <w:t xml:space="preserve">, and what is</w:t>
      </w:r>
      <w:r>
        <w:t xml:space="preserve"> </w:t>
      </w:r>
      <w:r>
        <w:rPr>
          <w:b/>
          <w:bCs/>
        </w:rPr>
        <w:t xml:space="preserve">new experimental evidence produced by the project</w:t>
      </w:r>
      <w:r>
        <w:t xml:space="preserve">.</w:t>
      </w:r>
    </w:p>
    <w:p>
      <w:pPr>
        <w:pStyle w:val="BodyText"/>
      </w:pPr>
      <w:r>
        <w:t xml:space="preserve">The project is currently stronger when described as a carefully scoped, critically evaluated VFX pipeline validation prototype than when described as a universal production validator. The remaining work should concentrate on evidence quality, documentation consistency, final verification and critical discussion rather than feature expansion.</w:t>
      </w:r>
    </w:p>
    <w:bookmarkEnd w:id="158"/>
    <w:sectPr>
      <w:headerReference w:type="default" r:id="rId9"/>
      <w:footerReference w:type="default" r:id="rId10"/>
      <w:pgSz w:w="11906" w:h="16838"/>
      <w:pgMar w:top="1134" w:bottom="1134" w:left="1247" w:right="1247"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E7882"/>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AOVGuard 2.0 | Technical and Academic Review Pack for Codex</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32A32"/>
      <w:sz w:val="20"/>
    </w:rPr>
  </w:style>
  <w:style w:styleId="BodyText" w:type="paragraph">
    <w:name w:val="Body Text"/>
    <w:basedOn w:val="Normal"/>
    <w:link w:val="BodyTextChar"/>
    <w:qFormat/>
    <w:pPr>
      <w:spacing w:after="100" w:before="180" w:line="259" w:lineRule="auto"/>
    </w:pPr>
    <w:rPr>
      <w:rFonts w:ascii="Aptos" w:hAnsi="Aptos"/>
      <w:color w:val="232A32"/>
      <w:sz w:val="20"/>
    </w:rPr>
  </w:style>
  <w:style w:customStyle="1" w:styleId="FirstParagraph" w:type="paragraph">
    <w:name w:val="First Paragraph"/>
    <w:basedOn w:val="BodyText"/>
    <w:next w:val="BodyText"/>
    <w:qFormat/>
    <w:pPr>
      <w:spacing w:after="100" w:line="259" w:lineRule="auto"/>
    </w:pPr>
    <w:rPr>
      <w:rFonts w:ascii="Aptos" w:hAnsi="Aptos"/>
      <w:color w:val="232A32"/>
      <w:sz w:val="20"/>
    </w:rPr>
  </w:style>
  <w:style w:customStyle="1" w:styleId="Compact" w:type="paragraph">
    <w:name w:val="Compact"/>
    <w:basedOn w:val="BodyText"/>
    <w:qFormat/>
    <w:pPr>
      <w:spacing w:after="50" w:before="36" w:line="259" w:lineRule="auto"/>
      <w:ind w:left="259"/>
    </w:pPr>
    <w:rPr>
      <w:rFonts w:ascii="Aptos" w:hAnsi="Aptos"/>
      <w:color w:val="232A32"/>
      <w:sz w:val="20"/>
    </w:rPr>
  </w:style>
  <w:style w:styleId="Title" w:type="paragraph">
    <w:name w:val="Title"/>
    <w:basedOn w:val="Normal"/>
    <w:next w:val="BodyText"/>
    <w:qFormat/>
    <w:pPr>
      <w:keepNext/>
      <w:keepLines/>
      <w:spacing w:after="280" w:before="480"/>
      <w:jc w:val="center"/>
    </w:pPr>
    <w:rPr>
      <w:rFonts w:asciiTheme="majorHAnsi" w:cstheme="majorBidi" w:eastAsiaTheme="majorEastAsia" w:hAnsiTheme="majorHAnsi" w:ascii="Aptos Display" w:hAnsi="Aptos Display"/>
      <w:b/>
      <w:bCs/>
      <w:color w:val="17365D"/>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Aptos Display" w:hAnsi="Aptos Display"/>
      <w:b/>
      <w:bCs/>
      <w:color w:val="17365D"/>
      <w:sz w:val="32"/>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Aptos Display" w:hAnsi="Aptos Display"/>
      <w:b/>
      <w:bCs/>
      <w:color w:val="275A7A"/>
      <w:sz w:val="26"/>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Display" w:hAnsi="Aptos Display"/>
      <w:b/>
      <w:bCs/>
      <w:color w:val="3D647A"/>
      <w:sz w:val="23"/>
      <w:szCs w:val="24"/>
    </w:rPr>
  </w:style>
  <w:style w:styleId="Heading4" w:type="paragraph">
    <w:name w:val="Heading 4"/>
    <w:basedOn w:val="Normal"/>
    <w:next w:val="BodyText"/>
    <w:uiPriority w:val="9"/>
    <w:unhideWhenUsed/>
    <w:qFormat/>
    <w:pPr>
      <w:keepNext/>
      <w:keepLines/>
      <w:spacing w:after="40" w:before="120"/>
      <w:outlineLvl w:val="3"/>
    </w:pPr>
    <w:rPr>
      <w:rFonts w:asciiTheme="majorHAnsi" w:cstheme="majorBidi" w:eastAsiaTheme="majorEastAsia" w:hAnsiTheme="majorHAnsi" w:ascii="Aptos Display" w:hAnsi="Aptos Display"/>
      <w:b/>
      <w:bCs/>
      <w:i/>
      <w:color w:val="4F6A78"/>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782D1E"/>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80" w:after="120"/>
      <w:ind w:left="202"/>
    </w:pPr>
    <w:rPr>
      <w:rFonts w:ascii="Consolas" w:hAnsi="Consolas"/>
      <w:color w:val="20323E"/>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AOVGuard 2.0 Technical Academic Review - Corrected</dc:title>
  <dc:creator>Joshua A. Medina G.</dc:creator>
  <cp:keywords>AOVGuard, OpenEXR, AOV, VFX, Pipeline TD, MSc, validation</cp:keywords>
  <dcterms:created xsi:type="dcterms:W3CDTF">2026-08-11T06:22:19Z</dcterms:created>
  <dcterms:modified xsi:type="dcterms:W3CDTF">2026-08-11T06:22:19Z</dcterms:modified>
  <dc:subject>Corrected against repository evidence on 11 August 2026</dc:subject>
</cp:coreProperties>
</file>

<file path=docProps/custom.xml><?xml version="1.0" encoding="utf-8"?>
<Properties xmlns="http://schemas.openxmlformats.org/officeDocument/2006/custom-properties" xmlns:vt="http://schemas.openxmlformats.org/officeDocument/2006/docPropsVTypes"/>
</file>