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4"/>
          <w:szCs w:val="24"/>
        </w:rPr>
        <w:t xml:space="preserve">GLOBAL ENTERPRISE TECHNOLOGIES, INC.</w:t>
      </w:r>
    </w:p>
    <w:p>
      <w:pPr>
        <w:spacing w:after="40"/>
        <w:jc w:val="center"/>
      </w:pPr>
      <w:r>
        <w:rPr>
          <w:rFonts w:ascii="Calibri" w:cs="Calibri" w:eastAsia="Calibri" w:hAnsi="Calibri"/>
          <w:b/>
          <w:bCs/>
          <w:sz w:val="30"/>
          <w:szCs w:val="30"/>
        </w:rPr>
        <w:t xml:space="preserve">TECHNICAL ACCOUNTING MEMORANDUM</w:t>
      </w:r>
    </w:p>
    <w:p>
      <w:pPr>
        <w:spacing w:after="200"/>
        <w:jc w:val="center"/>
      </w:pPr>
      <w:r>
        <w:rPr>
          <w:rFonts w:ascii="Calibri" w:cs="Calibri" w:eastAsia="Calibri" w:hAnsi="Calibri"/>
          <w:i/>
          <w:iCs/>
          <w:sz w:val="22"/>
          <w:szCs w:val="22"/>
        </w:rPr>
        <w:t xml:space="preserve">Accounting for Pooled Sales Commissions under ASC 340-40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Chief Financial Officer; Audit Committee; Independent Auditors (workpaper reference TA-340-40-01)</w:t>
            </w:r>
          </w:p>
        </w:tc>
      </w:tr>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From:</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Technical Accounting — Revenue &amp; Contract Costs</w:t>
            </w:r>
          </w:p>
        </w:tc>
      </w:tr>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Date:</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August 5, 2026</w:t>
            </w:r>
          </w:p>
        </w:tc>
      </w:tr>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Subject:</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Capitalization, amortization period, and practical expedient eligibility for the Regional Performance Bonus Pool as applied to 12-month SaaS subscription contracts carrying a 15% contractual renewal discount</w:t>
            </w:r>
          </w:p>
        </w:tc>
      </w:tr>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Source documents:</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Sales Compensation Plan Addendum: Regional Bonus Pool, together with the SaaS Alignment Addendum ("the Plan"). Retrieval audit trail: retrieved_context.md, chunk IDs PooledCommissions.txt#S3.1 through #S8.1.</w:t>
            </w:r>
          </w:p>
        </w:tc>
      </w:tr>
      <w:tr>
        <w:trPr>
          <w:tblHeader w:val="false"/>
        </w:trPr>
        <w:tc>
          <w:tcPr>
            <w:tcW w:type="dxa" w:w="1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Authority:</w:t>
            </w:r>
          </w:p>
        </w:tc>
        <w:tc>
          <w:tcPr>
            <w:tcW w:type="dxa" w:w="76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ASC 340-40; ASC 606-10-55-41 through 55-45; ASU 2014-09 Basis for Conclusions BC309; FASB/IASB Revenue TRG Agenda Papers 23 and 57</w:t>
            </w:r>
          </w:p>
        </w:tc>
      </w:tr>
    </w:tbl>
    <w:p>
      <w:pPr>
        <w:spacing w:after="80"/>
      </w:pPr>
      <w:r>
        <w:rPr>
          <w:rFonts w:ascii="Calibri" w:cs="Calibri" w:eastAsia="Calibri" w:hAnsi="Calibri"/>
          <w:sz w:val="21"/>
          <w:szCs w:val="21"/>
        </w:rPr>
        <w:t xml:space="preserve"/>
      </w:r>
    </w:p>
    <w:p>
      <w:pPr>
        <w:pBdr>
          <w:bottom w:val="single" w:color="AAAAAA" w:sz="6" w:space="1"/>
        </w:pBdr>
        <w:spacing w:after="160" w:before="60"/>
      </w:pPr>
      <w:r>
        <w:rPr>
          <w:sz w:val="2"/>
          <w:szCs w:val="2"/>
        </w:rPr>
        <w:t xml:space="preserve"/>
      </w:r>
    </w:p>
    <w:p>
      <w:pPr>
        <w:pStyle w:val="Heading1"/>
        <w:spacing w:after="160" w:before="320"/>
      </w:pPr>
      <w:r>
        <w:rPr>
          <w:rFonts w:ascii="Calibri" w:cs="Calibri" w:eastAsia="Calibri" w:hAnsi="Calibri"/>
          <w:b/>
          <w:bCs/>
          <w:color w:val="1F3864"/>
          <w:sz w:val="26"/>
          <w:szCs w:val="26"/>
        </w:rPr>
        <w:t xml:space="preserve">1. Executive Summary and Conclusions</w:t>
      </w:r>
    </w:p>
    <w:p>
      <w:pPr>
        <w:spacing w:after="120"/>
      </w:pPr>
      <w:r>
        <w:rPr>
          <w:rFonts w:ascii="Calibri" w:cs="Calibri" w:eastAsia="Calibri" w:hAnsi="Calibri"/>
          <w:sz w:val="21"/>
          <w:szCs w:val="21"/>
        </w:rPr>
        <w:t xml:space="preserve">Management asked four questions about the accounting for the Regional Performance Bonus Pool ("the Pool") as it applies to SaaS subscriptions with a mandatory 12-month initial term and a contractually guaranteed renewal option priced at a 15% discount to Year 1 list price. Our conclusions are summarized below and developed in Sections 3 through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36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w:t>
            </w:r>
          </w:p>
        </w:tc>
        <w:tc>
          <w:tcPr>
            <w:tcW w:type="dxa" w:w="506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Conclusion</w:t>
            </w:r>
          </w:p>
        </w:tc>
      </w:tr>
      <w:tr>
        <w:trPr>
          <w:tblHeader w:val="false"/>
        </w:trPr>
        <w:tc>
          <w:tcPr>
            <w:tcW w:type="dxa" w:w="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36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Threshold: are Pool costs capitalizable at all?</w:t>
            </w:r>
          </w:p>
        </w:tc>
        <w:tc>
          <w:tcPr>
            <w:tcW w:type="dxa" w:w="50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as currently designed. The Pool fails the "incremental costs of obtaining a contract" test in ASC 340-40-25-1: it is not tied to any specific contract, 60% is allocated by relative base salary and 40% by discretionary MBO scores, and funding is gated on 85% aggregate regional quota attainment. These amounts would have been incurred regardless of whether any particular contract was obtained. Expense as incurred under ASC 340-40-25-3. This threshold conclusion governs; Questions 1–4 are answered on an arguendo basis, and become operative only if the Plan is redesigned to create a traceable, contract-specific commission element.</w:t>
            </w:r>
          </w:p>
        </w:tc>
      </w:tr>
      <w:tr>
        <w:trPr>
          <w:tblHeader w:val="false"/>
        </w:trPr>
        <w:tc>
          <w:tcPr>
            <w:tcW w:type="dxa" w:w="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36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Is the 15% renewal discount a material right? Amortize over 12 months or over the EPB?</w:t>
            </w:r>
          </w:p>
        </w:tc>
        <w:tc>
          <w:tcPr>
            <w:tcW w:type="dxa" w:w="50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LIKELY YES, subject to testing 15% against the range of discounts actually granted to this class of customer. If it is a material right, a portion of the Year 1 transaction price is allocated to a performance obligation satisfied in the renewal period. Any capitalized cost of obtaining that contract therefore relates in part to Year 2 services and CANNOT be amortized over the 12-month initial term. Use the Estimated Period of Benefit.</w:t>
            </w:r>
          </w:p>
        </w:tc>
      </w:tr>
      <w:tr>
        <w:trPr>
          <w:tblHeader w:val="false"/>
        </w:trPr>
        <w:tc>
          <w:tcPr>
            <w:tcW w:type="dxa" w:w="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36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Is the 0.5% renewal funding rate "commensurate with" the 3.5% initial rate?</w:t>
            </w:r>
          </w:p>
        </w:tc>
        <w:tc>
          <w:tcPr>
            <w:tcW w:type="dxa" w:w="50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 decisively. The renewal rate is 14.3% of the initial rate on a rate basis and approximately 12.1% on an absolute-dollar basis once the 15% price discount is applied. Under either acceptable view of "commensurate" (relative-to-contract-value or level-of-effort), the test fails. Per ASU 2014-09 BC309 and ASC 340-40-35-1, amortization over the initial term alone is not supportable; an EPB in the 3-to-5 year range is indicated, subject to substantive retention evidence.</w:t>
            </w:r>
          </w:p>
        </w:tc>
      </w:tr>
      <w:tr>
        <w:trPr>
          <w:tblHeader w:val="false"/>
        </w:trPr>
        <w:tc>
          <w:tcPr>
            <w:tcW w:type="dxa" w:w="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36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Can we use the ASC 340-40-25-4 one-year practical expedient?</w:t>
            </w:r>
          </w:p>
        </w:tc>
        <w:tc>
          <w:tcPr>
            <w:tcW w:type="dxa" w:w="50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for initial-term commissions. The expedient tests the amortization period, not the contract term. Because the amortization period is the EPB (greater than one year), the expedient is unavailable. It remains available for renewal-period commissions, which amortize over the renewal term. Do not describe any expense-as-incurred outcome driven by the threshold test above as an application of the practical expedient — that mislabeling is a common source of SEC comment.</w:t>
            </w:r>
          </w:p>
        </w:tc>
      </w:tr>
      <w:tr>
        <w:trPr>
          <w:tblHeader w:val="false"/>
        </w:trPr>
        <w:tc>
          <w:tcPr>
            <w:tcW w:type="dxa" w:w="7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36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Draft footnote disclosure.</w:t>
            </w:r>
          </w:p>
        </w:tc>
        <w:tc>
          <w:tcPr>
            <w:tcW w:type="dxa" w:w="50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Drafted at Section 7. Two variants are provided: (a) the disclosure appropriate under the current Plan design, and (b) the disclosure appropriate if the Plan is redesigned and the asset is capitalized.</w:t>
            </w:r>
          </w:p>
        </w:tc>
      </w:tr>
    </w:tbl>
    <w:p>
      <w:pPr>
        <w:spacing w:after="10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Note on the citation in Question 2. </w:t>
      </w:r>
      <w:r>
        <w:rPr>
          <w:rFonts w:ascii="Calibri" w:cs="Calibri" w:eastAsia="Calibri" w:hAnsi="Calibri"/>
          <w:sz w:val="21"/>
          <w:szCs w:val="21"/>
        </w:rPr>
        <w:t xml:space="preserve">The "commensurate with" concept does not reside in ASC 340-40-25-4, which is the one-year practical expedient. It originates in ASU 2014-09 BC309 as an interpretation of the amortization requirement in ASC 340-40-35-1. Workpapers should cite the correct paragraphs, as the two provisions operate at different points in the analysis (recognition versus subsequent measurement).</w:t>
      </w:r>
    </w:p>
    <w:p>
      <w:pPr>
        <w:pStyle w:val="Heading1"/>
        <w:spacing w:after="160" w:before="320"/>
      </w:pPr>
      <w:r>
        <w:rPr>
          <w:rFonts w:ascii="Calibri" w:cs="Calibri" w:eastAsia="Calibri" w:hAnsi="Calibri"/>
          <w:b/>
          <w:bCs/>
          <w:color w:val="1F3864"/>
          <w:sz w:val="26"/>
          <w:szCs w:val="26"/>
        </w:rPr>
        <w:t xml:space="preserve">2. Background and Relevant Plan Terms</w:t>
      </w:r>
    </w:p>
    <w:p>
      <w:pPr>
        <w:spacing w:after="120"/>
      </w:pPr>
      <w:r>
        <w:rPr>
          <w:rFonts w:ascii="Calibri" w:cs="Calibri" w:eastAsia="Calibri" w:hAnsi="Calibri"/>
          <w:sz w:val="21"/>
          <w:szCs w:val="21"/>
        </w:rPr>
        <w:t xml:space="preserve">The Plan comprises an original Regional Bonus Pool document and a later SaaS Alignment Addendum. The Addendum re-states Section 3 with different funding mechanics, creating an internal inconsistency that should be resolved by amendment (see Section 8). The terms relevant to this analysis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Term</w:t>
            </w:r>
          </w:p>
        </w:tc>
        <w:tc>
          <w:tcPr>
            <w:tcW w:type="dxa" w:w="456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Plan language</w:t>
            </w:r>
          </w:p>
        </w:tc>
        <w:tc>
          <w:tcPr>
            <w:tcW w:type="dxa" w:w="18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 chunk</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Initial contract term</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mandatory initial Term of twelve (12) months"</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#S7.1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Initial funding rate</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 of New Annual Recurring Revenue (New ARR) closed for the initial 12-month contract period"</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Renewal option</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contractually guaranteed option to renew … for an additional 12-month period at a 15% discount relative to the Year 1 list price"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Renewal funding rate</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"funded at a significantly reduced rate of 0.5% of the renewed contract value"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Management's stated rationale</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"Because this renewal requires minimal sales friction …" and funding is set "to match the long-term economic benefit of the SaaS subscription lifecycle"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Pool traceability</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"Pool funds are not tied to any single, specific customer contract"</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#S5.1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Allocation method</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60% by relative base salary; 40% by discretionary MBO attainment scored by regional leadership</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#S5.1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Funding gate (original §3)</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 of regional New ARR only if the region achieves 85% of aggregate quarterly quota; 0% below that; 1.5x accelerator (to 5.25%) above 100%</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#S4.1</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Clawback</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Retroactive adjustment if a contributing contract defaults or terminates within the first 180 days of service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#S5 / §5</w:t>
            </w:r>
          </w:p>
        </w:tc>
      </w:tr>
      <w:tr>
        <w:trPr>
          <w:tblHeader w:val="false"/>
        </w:trPr>
        <w:tc>
          <w:tcPr>
            <w:tcW w:type="dxa" w:w="3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Service condition</w:t>
            </w:r>
          </w:p>
        </w:tc>
        <w:tc>
          <w:tcPr>
            <w:tcW w:type="dxa" w:w="45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Participant must be active and in good standing on the final business day of the period</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#S3.1</w:t>
            </w:r>
          </w:p>
        </w:tc>
      </w:tr>
    </w:tbl>
    <w:p>
      <w:pPr>
        <w:pStyle w:val="Heading1"/>
        <w:spacing w:after="160" w:before="320"/>
      </w:pPr>
      <w:r>
        <w:rPr>
          <w:rFonts w:ascii="Calibri" w:cs="Calibri" w:eastAsia="Calibri" w:hAnsi="Calibri"/>
          <w:b/>
          <w:bCs/>
          <w:color w:val="1F3864"/>
          <w:sz w:val="26"/>
          <w:szCs w:val="26"/>
        </w:rPr>
        <w:t xml:space="preserve">3. Threshold Question: Do Pool Costs Qualify for Capitalization?</w:t>
      </w:r>
    </w:p>
    <w:p>
      <w:pPr>
        <w:spacing w:after="140"/>
      </w:pPr>
      <w:r>
        <w:rPr>
          <w:rFonts w:ascii="Calibri" w:cs="Calibri" w:eastAsia="Calibri" w:hAnsi="Calibri"/>
          <w:sz w:val="21"/>
          <w:szCs w:val="21"/>
        </w:rPr>
        <w:t xml:space="preserve">Before addressing the amortization period, we must establish that there is an asset to amortize. ASC 340-40-25-1 permits capitalization only of the incremental costs of obtaining a contract — costs the entity would not have incurred if the contract had not been obtained. The Plan's own drafting is adverse to that conclusion in four respects.</w:t>
      </w:r>
    </w:p>
    <w:p>
      <w:pPr>
        <w:pStyle w:val="Heading2"/>
        <w:spacing w:after="120" w:before="240"/>
      </w:pPr>
      <w:r>
        <w:rPr>
          <w:rFonts w:ascii="Calibri" w:cs="Calibri" w:eastAsia="Calibri" w:hAnsi="Calibri"/>
          <w:b/>
          <w:bCs/>
          <w:color w:val="2E5496"/>
          <w:sz w:val="22"/>
          <w:szCs w:val="22"/>
        </w:rPr>
        <w:t xml:space="preserve">3.1 The Plan is not contract-specific</w:t>
      </w:r>
    </w:p>
    <w:p>
      <w:pPr>
        <w:spacing w:after="120"/>
      </w:pPr>
      <w:r>
        <w:rPr>
          <w:rFonts w:ascii="Calibri" w:cs="Calibri" w:eastAsia="Calibri" w:hAnsi="Calibri"/>
          <w:sz w:val="21"/>
          <w:szCs w:val="21"/>
        </w:rPr>
        <w:t xml:space="preserve">Section 4 states that "[t]he accumulated Pool funds are </w:t>
      </w:r>
      <w:r>
        <w:rPr>
          <w:rFonts w:ascii="Calibri" w:cs="Calibri" w:eastAsia="Calibri" w:hAnsi="Calibri"/>
          <w:b/>
          <w:bCs/>
          <w:sz w:val="21"/>
          <w:szCs w:val="21"/>
        </w:rPr>
        <w:t xml:space="preserve">not tied to any single, specific customer contract</w:t>
      </w:r>
      <w:r>
        <w:rPr>
          <w:rFonts w:ascii="Calibri" w:cs="Calibri" w:eastAsia="Calibri" w:hAnsi="Calibri"/>
          <w:sz w:val="21"/>
          <w:szCs w:val="21"/>
        </w:rPr>
        <w:t xml:space="preserve">" (#S5.1). ASC 340-40 operates at the level of an individual contract with a customer. A cost that cannot be traced to a contract cannot be shown to be incremental to obtaining that contract. This language, standing alone, is the single most damaging fact in the file.</w:t>
      </w:r>
    </w:p>
    <w:p>
      <w:pPr>
        <w:pStyle w:val="Heading2"/>
        <w:spacing w:after="120" w:before="240"/>
      </w:pPr>
      <w:r>
        <w:rPr>
          <w:rFonts w:ascii="Calibri" w:cs="Calibri" w:eastAsia="Calibri" w:hAnsi="Calibri"/>
          <w:b/>
          <w:bCs/>
          <w:color w:val="2E5496"/>
          <w:sz w:val="22"/>
          <w:szCs w:val="22"/>
        </w:rPr>
        <w:t xml:space="preserve">3.2 The allocation formula is compensatory, not transactional</w:t>
      </w:r>
    </w:p>
    <w:p>
      <w:pPr>
        <w:pStyle w:val="ListParagraph"/>
        <w:numPr>
          <w:ilvl w:val="0"/>
          <w:numId w:val="2"/>
        </w:numPr>
        <w:spacing w:after="80"/>
      </w:pPr>
      <w:r>
        <w:rPr>
          <w:rFonts w:ascii="Calibri" w:cs="Calibri" w:eastAsia="Calibri" w:hAnsi="Calibri"/>
          <w:b/>
          <w:bCs/>
          <w:sz w:val="21"/>
          <w:szCs w:val="21"/>
        </w:rPr>
        <w:t xml:space="preserve">60% base weighting. </w:t>
      </w:r>
      <w:r>
        <w:rPr>
          <w:rFonts w:ascii="Calibri" w:cs="Calibri" w:eastAsia="Calibri" w:hAnsi="Calibri"/>
          <w:sz w:val="21"/>
          <w:szCs w:val="21"/>
        </w:rPr>
        <w:t xml:space="preserve">Distributed by relative base salary. An amount that varies with payroll rather than with contracts closed is compensation for service, not a cost of obtaining a contract.</w:t>
      </w:r>
    </w:p>
    <w:p>
      <w:pPr>
        <w:pStyle w:val="ListParagraph"/>
        <w:numPr>
          <w:ilvl w:val="0"/>
          <w:numId w:val="2"/>
        </w:numPr>
        <w:spacing w:after="80"/>
      </w:pPr>
      <w:r>
        <w:rPr>
          <w:rFonts w:ascii="Calibri" w:cs="Calibri" w:eastAsia="Calibri" w:hAnsi="Calibri"/>
          <w:b/>
          <w:bCs/>
          <w:sz w:val="21"/>
          <w:szCs w:val="21"/>
        </w:rPr>
        <w:t xml:space="preserve">40% performance weighting. </w:t>
      </w:r>
      <w:r>
        <w:rPr>
          <w:rFonts w:ascii="Calibri" w:cs="Calibri" w:eastAsia="Calibri" w:hAnsi="Calibri"/>
          <w:sz w:val="21"/>
          <w:szCs w:val="21"/>
        </w:rPr>
        <w:t xml:space="preserve">Distributed on MBO scores "evaluated by regional leadership." Discretionary, subjective, retrospectively determined amounts are not incremental to any identified contract. The TRG discussion in Agenda Paper 23 confirms that bonuses subject to management discretion generally fail the incremental test.</w:t>
      </w:r>
    </w:p>
    <w:p>
      <w:pPr>
        <w:pStyle w:val="Heading2"/>
        <w:spacing w:after="120" w:before="240"/>
      </w:pPr>
      <w:r>
        <w:rPr>
          <w:rFonts w:ascii="Calibri" w:cs="Calibri" w:eastAsia="Calibri" w:hAnsi="Calibri"/>
          <w:b/>
          <w:bCs/>
          <w:color w:val="2E5496"/>
          <w:sz w:val="22"/>
          <w:szCs w:val="22"/>
        </w:rPr>
        <w:t xml:space="preserve">3.3 Funding is contingent on aggregate regional performance</w:t>
      </w:r>
    </w:p>
    <w:p>
      <w:pPr>
        <w:spacing w:after="120"/>
      </w:pPr>
      <w:r>
        <w:rPr>
          <w:rFonts w:ascii="Calibri" w:cs="Calibri" w:eastAsia="Calibri" w:hAnsi="Calibri"/>
          <w:sz w:val="21"/>
          <w:szCs w:val="21"/>
        </w:rPr>
        <w:t xml:space="preserve">Under the original Section 3 the Pool funds at 0% below 85% aggregate regional quota attainment and accelerates to 5.25% above 100% (#S4.1). Whether any amount is paid in respect of a given contract therefore depends on the collective results of the region, not on that contract. A commission that is zero when a contract is signed into an underperforming region is, by construction, not incremental to that contract.</w:t>
      </w:r>
    </w:p>
    <w:p>
      <w:pPr>
        <w:pStyle w:val="Heading2"/>
        <w:spacing w:after="120" w:before="240"/>
      </w:pPr>
      <w:r>
        <w:rPr>
          <w:rFonts w:ascii="Calibri" w:cs="Calibri" w:eastAsia="Calibri" w:hAnsi="Calibri"/>
          <w:b/>
          <w:bCs/>
          <w:color w:val="2E5496"/>
          <w:sz w:val="22"/>
          <w:szCs w:val="22"/>
        </w:rPr>
        <w:t xml:space="preserve">3.4 Participation requires continued employment</w:t>
      </w:r>
    </w:p>
    <w:p>
      <w:pPr>
        <w:spacing w:after="120"/>
      </w:pPr>
      <w:r>
        <w:rPr>
          <w:rFonts w:ascii="Calibri" w:cs="Calibri" w:eastAsia="Calibri" w:hAnsi="Calibri"/>
          <w:sz w:val="21"/>
          <w:szCs w:val="21"/>
        </w:rPr>
        <w:t xml:space="preserve">Eligibility is conditioned on being "active and in good standing on the final business day of the applicable performance period" (#S3.1). A substantive service condition indicates the payment compensates for service delivered over the period rather than for obtaining a contract.</w:t>
      </w:r>
    </w:p>
    <w:p>
      <w:pPr>
        <w:spacing w:after="140" w:before="140"/>
      </w:pPr>
      <w:r>
        <w:rPr>
          <w:rFonts w:ascii="Calibri" w:cs="Calibri" w:eastAsia="Calibri" w:hAnsi="Calibri"/>
          <w:b/>
          <w:bCs/>
          <w:sz w:val="21"/>
          <w:szCs w:val="21"/>
        </w:rPr>
        <w:t xml:space="preserve">Conclusion. </w:t>
      </w:r>
      <w:r>
        <w:rPr>
          <w:rFonts w:ascii="Calibri" w:cs="Calibri" w:eastAsia="Calibri" w:hAnsi="Calibri"/>
          <w:sz w:val="21"/>
          <w:szCs w:val="21"/>
        </w:rPr>
        <w:t xml:space="preserve">As presently drafted, Pool payments should be expensed as incurred under ASC 340-40-25-3 because they fail the incremental test in ASC 340-40-25-1. This is an </w:t>
      </w:r>
      <w:r>
        <w:rPr>
          <w:rFonts w:ascii="Calibri" w:cs="Calibri" w:eastAsia="Calibri" w:hAnsi="Calibri"/>
          <w:i/>
          <w:iCs/>
          <w:sz w:val="21"/>
          <w:szCs w:val="21"/>
        </w:rPr>
        <w:t xml:space="preserve">ineligibility</w:t>
      </w:r>
      <w:r>
        <w:rPr>
          <w:rFonts w:ascii="Calibri" w:cs="Calibri" w:eastAsia="Calibri" w:hAnsi="Calibri"/>
          <w:sz w:val="21"/>
          <w:szCs w:val="21"/>
        </w:rPr>
        <w:t xml:space="preserve"> conclusion, not an application of the practical expedient, and must be characterized as such in the footnote. See Section 8 for the plan-design changes that would carve out a capitalizable element.</w:t>
      </w:r>
    </w:p>
    <w:p>
      <w:pPr>
        <w:spacing w:after="120"/>
      </w:pPr>
      <w:r>
        <w:rPr>
          <w:rFonts w:ascii="Calibri" w:cs="Calibri" w:eastAsia="Calibri" w:hAnsi="Calibri"/>
          <w:i/>
          <w:iCs/>
          <w:sz w:val="21"/>
          <w:szCs w:val="21"/>
        </w:rPr>
        <w:t xml:space="preserve">The remainder of this memorandum answers management's four questions on the assumption — contrary to Section 3 — that a contract-specific, formulaic commission element exists or is created by amendment.</w:t>
      </w:r>
    </w:p>
    <w:p>
      <w:pPr>
        <w:pStyle w:val="Heading1"/>
        <w:spacing w:after="160" w:before="320"/>
      </w:pPr>
      <w:r>
        <w:rPr>
          <w:rFonts w:ascii="Calibri" w:cs="Calibri" w:eastAsia="Calibri" w:hAnsi="Calibri"/>
          <w:b/>
          <w:bCs/>
          <w:color w:val="1F3864"/>
          <w:sz w:val="26"/>
          <w:szCs w:val="26"/>
        </w:rPr>
        <w:t xml:space="preserve">4. Question 1 — Material Right and the Amortization Period</w:t>
      </w:r>
    </w:p>
    <w:p>
      <w:pPr>
        <w:pStyle w:val="Heading2"/>
        <w:spacing w:after="120" w:before="240"/>
      </w:pPr>
      <w:r>
        <w:rPr>
          <w:rFonts w:ascii="Calibri" w:cs="Calibri" w:eastAsia="Calibri" w:hAnsi="Calibri"/>
          <w:b/>
          <w:bCs/>
          <w:color w:val="2E5496"/>
          <w:sz w:val="22"/>
          <w:szCs w:val="22"/>
        </w:rPr>
        <w:t xml:space="preserve">4.1 Is the 15% renewal discount a material right?</w:t>
      </w:r>
    </w:p>
    <w:p>
      <w:pPr>
        <w:spacing w:after="120"/>
      </w:pPr>
      <w:r>
        <w:rPr>
          <w:rFonts w:ascii="Calibri" w:cs="Calibri" w:eastAsia="Calibri" w:hAnsi="Calibri"/>
          <w:sz w:val="21"/>
          <w:szCs w:val="21"/>
        </w:rPr>
        <w:t xml:space="preserve">ASC 606-10-55-42 provides that a customer option to acquire additional goods or services gives rise to a performance obligation only if it provides the customer with a material right that it would not have received without entering into the contract. ASC 606-10-55-43 supplies the operative test: the option is a material right when the discount is incremental to the range of discounts typically given for those goods or services to that class of customer in that geographical area or market.</w:t>
      </w:r>
    </w:p>
    <w:p>
      <w:pPr>
        <w:spacing w:after="120"/>
      </w:pPr>
      <w:r>
        <w:rPr>
          <w:rFonts w:ascii="Calibri" w:cs="Calibri" w:eastAsia="Calibri" w:hAnsi="Calibri"/>
          <w:sz w:val="21"/>
          <w:szCs w:val="21"/>
        </w:rPr>
        <w:t xml:space="preserve">Three features of this arrangement point toward material-right treatment:</w:t>
      </w:r>
    </w:p>
    <w:p>
      <w:pPr>
        <w:pStyle w:val="ListParagraph"/>
        <w:numPr>
          <w:ilvl w:val="0"/>
          <w:numId w:val="3"/>
        </w:numPr>
        <w:spacing w:after="80"/>
      </w:pPr>
      <w:r>
        <w:rPr>
          <w:rFonts w:ascii="Calibri" w:cs="Calibri" w:eastAsia="Calibri" w:hAnsi="Calibri"/>
          <w:b/>
          <w:bCs/>
          <w:sz w:val="21"/>
          <w:szCs w:val="21"/>
        </w:rPr>
        <w:t xml:space="preserve">Contractual guarantee. </w:t>
      </w:r>
      <w:r>
        <w:rPr>
          <w:rFonts w:ascii="Calibri" w:cs="Calibri" w:eastAsia="Calibri" w:hAnsi="Calibri"/>
          <w:sz w:val="21"/>
          <w:szCs w:val="21"/>
        </w:rPr>
        <w:t xml:space="preserve">The Plan describes a "contractually guaranteed option" (#S8.1). The right is enforceable and arises solely from executing the Year 1 contract — it is not a marketing practice the entity could unilaterally withdraw.</w:t>
      </w:r>
    </w:p>
    <w:p>
      <w:pPr>
        <w:pStyle w:val="ListParagraph"/>
        <w:numPr>
          <w:ilvl w:val="0"/>
          <w:numId w:val="3"/>
        </w:numPr>
        <w:spacing w:after="80"/>
      </w:pPr>
      <w:r>
        <w:rPr>
          <w:rFonts w:ascii="Calibri" w:cs="Calibri" w:eastAsia="Calibri" w:hAnsi="Calibri"/>
          <w:b/>
          <w:bCs/>
          <w:sz w:val="21"/>
          <w:szCs w:val="21"/>
        </w:rPr>
        <w:t xml:space="preserve">Quantified and fixed. </w:t>
      </w:r>
      <w:r>
        <w:rPr>
          <w:rFonts w:ascii="Calibri" w:cs="Calibri" w:eastAsia="Calibri" w:hAnsi="Calibri"/>
          <w:sz w:val="21"/>
          <w:szCs w:val="21"/>
        </w:rPr>
        <w:t xml:space="preserve">The discount is a stated 15% off Year 1 list price, not a negotiated outcome. A specified percentage is readily comparable to the entity's typical discounting and is difficult to characterize as ordinary course.</w:t>
      </w:r>
    </w:p>
    <w:p>
      <w:pPr>
        <w:pStyle w:val="ListParagraph"/>
        <w:numPr>
          <w:ilvl w:val="0"/>
          <w:numId w:val="3"/>
        </w:numPr>
        <w:spacing w:after="80"/>
      </w:pPr>
      <w:r>
        <w:rPr>
          <w:rFonts w:ascii="Calibri" w:cs="Calibri" w:eastAsia="Calibri" w:hAnsi="Calibri"/>
          <w:b/>
          <w:bCs/>
          <w:sz w:val="21"/>
          <w:szCs w:val="21"/>
        </w:rPr>
        <w:t xml:space="preserve">Magnitude. </w:t>
      </w:r>
      <w:r>
        <w:rPr>
          <w:rFonts w:ascii="Calibri" w:cs="Calibri" w:eastAsia="Calibri" w:hAnsi="Calibri"/>
          <w:sz w:val="21"/>
          <w:szCs w:val="21"/>
        </w:rPr>
        <w:t xml:space="preserve">A 15% reduction in ARR is economically significant for a SaaS subscription and, in our experience, exceeds routine renewal concessions in most enterprise software price books.</w:t>
      </w:r>
    </w:p>
    <w:p>
      <w:pPr>
        <w:spacing w:after="120"/>
      </w:pPr>
      <w:r>
        <w:rPr>
          <w:rFonts w:ascii="Calibri" w:cs="Calibri" w:eastAsia="Calibri" w:hAnsi="Calibri"/>
          <w:b/>
          <w:bCs/>
          <w:sz w:val="21"/>
          <w:szCs w:val="21"/>
        </w:rPr>
        <w:t xml:space="preserve">Evidence required to conclude. </w:t>
      </w:r>
      <w:r>
        <w:rPr>
          <w:rFonts w:ascii="Calibri" w:cs="Calibri" w:eastAsia="Calibri" w:hAnsi="Calibri"/>
          <w:sz w:val="21"/>
          <w:szCs w:val="21"/>
        </w:rPr>
        <w:t xml:space="preserve">The test is empirical, and we cannot complete it from the Plan document alone. Obtain and document: (a) the realized renewal discount distribution for the trailing eight quarters by customer class and geography; (b) the standalone selling price of a Year 2 subscription sold to a comparable customer without an option; and (c) evidence of whether renewing customers </w:t>
      </w:r>
      <w:r>
        <w:rPr>
          <w:rFonts w:ascii="Calibri" w:cs="Calibri" w:eastAsia="Calibri" w:hAnsi="Calibri"/>
          <w:i/>
          <w:iCs/>
          <w:sz w:val="21"/>
          <w:szCs w:val="21"/>
        </w:rPr>
        <w:t xml:space="preserve">without</w:t>
      </w:r>
      <w:r>
        <w:rPr>
          <w:rFonts w:ascii="Calibri" w:cs="Calibri" w:eastAsia="Calibri" w:hAnsi="Calibri"/>
          <w:sz w:val="21"/>
          <w:szCs w:val="21"/>
        </w:rPr>
        <w:t xml:space="preserve"> the contractual option nonetheless receive comparable pricing. If customers routinely renew at 15% off regardless of the option, the option conveys no incremental discount and is not a material right, notwithstanding its contractual form.</w:t>
      </w:r>
    </w:p>
    <w:p>
      <w:pPr>
        <w:spacing w:after="140"/>
      </w:pPr>
      <w:r>
        <w:rPr>
          <w:rFonts w:ascii="Calibri" w:cs="Calibri" w:eastAsia="Calibri" w:hAnsi="Calibri"/>
          <w:sz w:val="21"/>
          <w:szCs w:val="21"/>
        </w:rPr>
        <w:t xml:space="preserve">If the option is a material right, the entity allocates a portion of the Year 1 transaction price to it on a relative standalone selling price basis, estimating the option's standalone selling price under ASC 606-10-55-44 by reference to the discount the customer would obtain when exercising, adjusted for any discount available without exercising and for the probability of exercise. Revenue allocated to the material right is deferred and recognized when the option is exercised or expires.</w:t>
      </w:r>
    </w:p>
    <w:p>
      <w:pPr>
        <w:pStyle w:val="Heading2"/>
        <w:spacing w:after="120" w:before="240"/>
      </w:pPr>
      <w:r>
        <w:rPr>
          <w:rFonts w:ascii="Calibri" w:cs="Calibri" w:eastAsia="Calibri" w:hAnsi="Calibri"/>
          <w:b/>
          <w:bCs/>
          <w:color w:val="2E5496"/>
          <w:sz w:val="22"/>
          <w:szCs w:val="22"/>
        </w:rPr>
        <w:t xml:space="preserve">4.2 Consequence for the amortization period</w:t>
      </w:r>
    </w:p>
    <w:p>
      <w:pPr>
        <w:spacing w:after="120"/>
      </w:pPr>
      <w:r>
        <w:rPr>
          <w:rFonts w:ascii="Calibri" w:cs="Calibri" w:eastAsia="Calibri" w:hAnsi="Calibri"/>
          <w:sz w:val="21"/>
          <w:szCs w:val="21"/>
        </w:rPr>
        <w:t xml:space="preserve">This is the point management should focus on. ASC 340-40-35-1 requires the asset to be amortized on a systematic basis consistent with the transfer of the goods or services to which the asset relates. If part of the Year 1 transaction price is allocated to a material right that is satisfied during the renewal period, then a portion of the revenue arising from the Year 1 contract is — as a matter of the entity's own accounting — recognized in Year 2.</w:t>
      </w:r>
    </w:p>
    <w:p>
      <w:pPr>
        <w:spacing w:after="120"/>
      </w:pPr>
      <w:r>
        <w:rPr>
          <w:rFonts w:ascii="Calibri" w:cs="Calibri" w:eastAsia="Calibri" w:hAnsi="Calibri"/>
          <w:sz w:val="21"/>
          <w:szCs w:val="21"/>
        </w:rPr>
        <w:t xml:space="preserve">It follows directly that the cost of obtaining that contract relates to goods and services transferred beyond the initial 12 months. Amortizing the capitalized commission strictly over the initial 12-month term would systematically mismatch cost against the revenue the entity itself has deferred into the renewal period. </w:t>
      </w:r>
      <w:r>
        <w:rPr>
          <w:rFonts w:ascii="Calibri" w:cs="Calibri" w:eastAsia="Calibri" w:hAnsi="Calibri"/>
          <w:b/>
          <w:bCs/>
          <w:sz w:val="21"/>
          <w:szCs w:val="21"/>
        </w:rPr>
        <w:t xml:space="preserve">The material-right conclusion and a 12-month amortization period are mutually inconsistent positions.</w:t>
      </w:r>
    </w:p>
    <w:p>
      <w:pPr>
        <w:spacing w:after="100"/>
      </w:pPr>
      <w:r>
        <w:rPr>
          <w:rFonts w:ascii="Calibri" w:cs="Calibri" w:eastAsia="Calibri" w:hAnsi="Calibri"/>
          <w:sz w:val="21"/>
          <w:szCs w:val="21"/>
        </w:rPr>
        <w:t xml:space="preserve">Accordingly, the asset must be amortized over the Estimated Period of Benefit. The material-right analysis alone is sufficient to reach that answer; the commensurate analysis in Section 5 reaches it a second, independent way.</w:t>
      </w:r>
    </w:p>
    <w:p>
      <w:pPr>
        <w:pStyle w:val="Heading1"/>
        <w:spacing w:after="160" w:before="320"/>
      </w:pPr>
      <w:r>
        <w:rPr>
          <w:rFonts w:ascii="Calibri" w:cs="Calibri" w:eastAsia="Calibri" w:hAnsi="Calibri"/>
          <w:b/>
          <w:bCs/>
          <w:color w:val="1F3864"/>
          <w:sz w:val="26"/>
          <w:szCs w:val="26"/>
        </w:rPr>
        <w:t xml:space="preserve">5. Question 2 — Renewal Commission Disproportion and the "Commensurate" Test</w:t>
      </w:r>
    </w:p>
    <w:p>
      <w:pPr>
        <w:pStyle w:val="Heading2"/>
        <w:spacing w:after="120" w:before="240"/>
      </w:pPr>
      <w:r>
        <w:rPr>
          <w:rFonts w:ascii="Calibri" w:cs="Calibri" w:eastAsia="Calibri" w:hAnsi="Calibri"/>
          <w:b/>
          <w:bCs/>
          <w:color w:val="2E5496"/>
          <w:sz w:val="22"/>
          <w:szCs w:val="22"/>
        </w:rPr>
        <w:t xml:space="preserve">5.1 The governing guidance</w:t>
      </w:r>
    </w:p>
    <w:p>
      <w:pPr>
        <w:spacing w:after="120"/>
      </w:pPr>
      <w:r>
        <w:rPr>
          <w:rFonts w:ascii="Calibri" w:cs="Calibri" w:eastAsia="Calibri" w:hAnsi="Calibri"/>
          <w:sz w:val="21"/>
          <w:szCs w:val="21"/>
        </w:rPr>
        <w:t xml:space="preserve">ASU 2014-09 BC309 states that amortizing the asset over a period longer than the initial contract term would not be appropriate where the entity pays a renewal commission that is commensurate with the commission paid on the initial contract. The inverse is the operative rule here: where the renewal commission is not commensurate, the initial commission is understood to compensate the salesperson for the entire customer relationship, including anticipated renewals, and the amortization period must extend accordingly.</w:t>
      </w:r>
    </w:p>
    <w:p>
      <w:pPr>
        <w:spacing w:after="120"/>
      </w:pPr>
      <w:r>
        <w:rPr>
          <w:rFonts w:ascii="Calibri" w:cs="Calibri" w:eastAsia="Calibri" w:hAnsi="Calibri"/>
          <w:sz w:val="21"/>
          <w:szCs w:val="21"/>
        </w:rPr>
        <w:t xml:space="preserve">The TRG identified two acceptable approaches to evaluating "commensurate" (see FASB Revenue TRG Agenda Paper 57 and the related implementation Q&amp;A): comparing the commissions relative to their respective contract values, or comparing the level of effort required to obtain the initial versus the renewal contract. An entity elects an approach and applies it consistently. Both are applied below.</w:t>
      </w:r>
    </w:p>
    <w:p>
      <w:pPr>
        <w:pStyle w:val="Heading2"/>
        <w:spacing w:after="120" w:before="240"/>
      </w:pPr>
      <w:r>
        <w:rPr>
          <w:rFonts w:ascii="Calibri" w:cs="Calibri" w:eastAsia="Calibri" w:hAnsi="Calibri"/>
          <w:b/>
          <w:bCs/>
          <w:color w:val="2E5496"/>
          <w:sz w:val="22"/>
          <w:szCs w:val="22"/>
        </w:rPr>
        <w:t xml:space="preserve">5.2 Quantitative application</w:t>
      </w:r>
    </w:p>
    <w:p>
      <w:pPr>
        <w:spacing w:after="100"/>
      </w:pPr>
      <w:r>
        <w:rPr>
          <w:rFonts w:ascii="Calibri" w:cs="Calibri" w:eastAsia="Calibri" w:hAnsi="Calibri"/>
          <w:i/>
          <w:iCs/>
          <w:sz w:val="21"/>
          <w:szCs w:val="21"/>
        </w:rPr>
        <w:t xml:space="preserve">Assume a Year 1 contract with $100 of list ARR, renewed under the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2000"/>
      </w:tblGrid>
      <w:tr>
        <w:trPr>
          <w:tblHeader/>
        </w:trPr>
        <w:tc>
          <w:tcPr>
            <w:tcW w:type="dxa" w:w="34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Measure</w:t>
            </w:r>
          </w:p>
        </w:tc>
        <w:tc>
          <w:tcPr>
            <w:tcW w:type="dxa" w:w="198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Initial term</w:t>
            </w:r>
          </w:p>
        </w:tc>
        <w:tc>
          <w:tcPr>
            <w:tcW w:type="dxa" w:w="198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Renewal term</w:t>
            </w:r>
          </w:p>
        </w:tc>
        <w:tc>
          <w:tcPr>
            <w:tcW w:type="dxa" w:w="20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Renewal as % of initial</w:t>
            </w:r>
          </w:p>
        </w:tc>
      </w:tr>
      <w:tr>
        <w:trPr>
          <w:tblHeader w:val="false"/>
        </w:trPr>
        <w:tc>
          <w:tcPr>
            <w:tcW w:type="dxa" w:w="34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Contract value</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$100.00</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$85.00</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85.0%</w:t>
            </w:r>
          </w:p>
        </w:tc>
      </w:tr>
      <w:tr>
        <w:trPr>
          <w:tblHeader w:val="false"/>
        </w:trPr>
        <w:tc>
          <w:tcPr>
            <w:tcW w:type="dxa" w:w="34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Funding rate</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3.50%</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0.50%</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14.3%</w:t>
            </w:r>
          </w:p>
        </w:tc>
      </w:tr>
      <w:tr>
        <w:trPr>
          <w:tblHeader w:val="false"/>
        </w:trPr>
        <w:tc>
          <w:tcPr>
            <w:tcW w:type="dxa" w:w="34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Pool funding (absolute $)</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$3.50</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$0.425</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r>
      <w:tr>
        <w:trPr>
          <w:tblHeader w:val="false"/>
        </w:trPr>
        <w:tc>
          <w:tcPr>
            <w:tcW w:type="dxa" w:w="34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View 1 — relative to contract value</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3.50%</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0.50%</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commensurate</w:t>
            </w:r>
          </w:p>
        </w:tc>
      </w:tr>
      <w:tr>
        <w:trPr>
          <w:tblHeader w:val="false"/>
        </w:trPr>
        <w:tc>
          <w:tcPr>
            <w:tcW w:type="dxa" w:w="34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View 2 — relative level of effort</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Full new-logo sales cycle</w:t>
            </w:r>
          </w:p>
        </w:tc>
        <w:tc>
          <w:tcPr>
            <w:tcW w:type="dxa" w:w="198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Plan states "minimal sales friction"</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commensurate</w:t>
            </w:r>
          </w:p>
        </w:tc>
      </w:tr>
    </w:tbl>
    <w:p>
      <w:pPr>
        <w:spacing w:after="10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Under View 1, a renewal commission is commensurate when the two commissions are reasonably proportionate to their respective contract values — for example, 5% paid on both. Here the rate falls by a factor of seven, and the compounding effect of the 15% price discount reduces the absolute renewal payment to roughly one-eighth of the initial payment. This is not a marginal case.</w:t>
      </w:r>
    </w:p>
    <w:p>
      <w:pPr>
        <w:spacing w:after="120"/>
      </w:pPr>
      <w:r>
        <w:rPr>
          <w:rFonts w:ascii="Calibri" w:cs="Calibri" w:eastAsia="Calibri" w:hAnsi="Calibri"/>
          <w:sz w:val="21"/>
          <w:szCs w:val="21"/>
        </w:rPr>
        <w:t xml:space="preserve">Under View 2, the Plan's own language is dispositive against the entity: the renewal rate is reduced </w:t>
      </w:r>
      <w:r>
        <w:rPr>
          <w:rFonts w:ascii="Calibri" w:cs="Calibri" w:eastAsia="Calibri" w:hAnsi="Calibri"/>
          <w:i/>
          <w:iCs/>
          <w:sz w:val="21"/>
          <w:szCs w:val="21"/>
        </w:rPr>
        <w:t xml:space="preserve">"[b]ecause this renewal requires minimal sales friction"</w:t>
      </w:r>
      <w:r>
        <w:rPr>
          <w:rFonts w:ascii="Calibri" w:cs="Calibri" w:eastAsia="Calibri" w:hAnsi="Calibri"/>
          <w:sz w:val="21"/>
          <w:szCs w:val="21"/>
        </w:rPr>
        <w:t xml:space="preserve"> (#S8.1). Management has documented, in the governing plan itself, that the initial commission compensates for effort whose benefit extends into the renewal period. Section 3 of the Addendum reinforces this by stating the stratification is designed "to match the long-term economic benefit of the SaaS subscription lifecycle." An auditor or SEC reviewer will read these sentences as an admission that the initial payment purchases a multi-year customer relationship.</w:t>
      </w:r>
    </w:p>
    <w:p>
      <w:pPr>
        <w:pStyle w:val="Heading2"/>
        <w:spacing w:after="120" w:before="240"/>
      </w:pPr>
      <w:r>
        <w:rPr>
          <w:rFonts w:ascii="Calibri" w:cs="Calibri" w:eastAsia="Calibri" w:hAnsi="Calibri"/>
          <w:b/>
          <w:bCs/>
          <w:color w:val="2E5496"/>
          <w:sz w:val="22"/>
          <w:szCs w:val="22"/>
        </w:rPr>
        <w:t xml:space="preserve">5.3 Effect on the amortization schedule</w:t>
      </w:r>
    </w:p>
    <w:p>
      <w:pPr>
        <w:spacing w:after="120"/>
      </w:pPr>
      <w:r>
        <w:rPr>
          <w:rFonts w:ascii="Calibri" w:cs="Calibri" w:eastAsia="Calibri" w:hAnsi="Calibri"/>
          <w:sz w:val="21"/>
          <w:szCs w:val="21"/>
        </w:rPr>
        <w:t xml:space="preserve">Because the renewal commission is not commensurate, expensing the initial commission over the 1-year contract life is not supportable. The amortization period is the Estimated Period of Benefit: the period over which the entity expects to benefit from the customer relationship the commission secured, including reasonably anticipated renewals.</w:t>
      </w:r>
    </w:p>
    <w:p>
      <w:pPr>
        <w:spacing w:after="120"/>
      </w:pPr>
      <w:r>
        <w:rPr>
          <w:rFonts w:ascii="Calibri" w:cs="Calibri" w:eastAsia="Calibri" w:hAnsi="Calibri"/>
          <w:sz w:val="21"/>
          <w:szCs w:val="21"/>
        </w:rPr>
        <w:t xml:space="preserve">The EPB is an estimate requiring documented support. It is not a policy choice, and "three to five years" is not a default. Build the estimate from:</w:t>
      </w:r>
    </w:p>
    <w:p>
      <w:pPr>
        <w:pStyle w:val="ListParagraph"/>
        <w:numPr>
          <w:ilvl w:val="0"/>
          <w:numId w:val="2"/>
        </w:numPr>
        <w:spacing w:after="80"/>
      </w:pPr>
      <w:r>
        <w:rPr>
          <w:rFonts w:ascii="Calibri" w:cs="Calibri" w:eastAsia="Calibri" w:hAnsi="Calibri"/>
          <w:b/>
          <w:bCs/>
          <w:sz w:val="21"/>
          <w:szCs w:val="21"/>
        </w:rPr>
        <w:t xml:space="preserve">Retention evidence. </w:t>
      </w:r>
      <w:r>
        <w:rPr>
          <w:rFonts w:ascii="Calibri" w:cs="Calibri" w:eastAsia="Calibri" w:hAnsi="Calibri"/>
          <w:sz w:val="21"/>
          <w:szCs w:val="21"/>
        </w:rPr>
        <w:t xml:space="preserve">Cohort-based logo and dollar retention curves, ideally by customer segment, converted into an expected customer life. Where an average customer life of five years is asserted, the underlying churn data must support it.</w:t>
      </w:r>
    </w:p>
    <w:p>
      <w:pPr>
        <w:pStyle w:val="ListParagraph"/>
        <w:numPr>
          <w:ilvl w:val="0"/>
          <w:numId w:val="2"/>
        </w:numPr>
        <w:spacing w:after="80"/>
      </w:pPr>
      <w:r>
        <w:rPr>
          <w:rFonts w:ascii="Calibri" w:cs="Calibri" w:eastAsia="Calibri" w:hAnsi="Calibri"/>
          <w:b/>
          <w:bCs/>
          <w:sz w:val="21"/>
          <w:szCs w:val="21"/>
        </w:rPr>
        <w:t xml:space="preserve">Effect of the option itself. </w:t>
      </w:r>
      <w:r>
        <w:rPr>
          <w:rFonts w:ascii="Calibri" w:cs="Calibri" w:eastAsia="Calibri" w:hAnsi="Calibri"/>
          <w:sz w:val="21"/>
          <w:szCs w:val="21"/>
        </w:rPr>
        <w:t xml:space="preserve">A guaranteed 15% renewal discount is a retention mechanism and should be expected to lengthen, not shorten, observed customer life. This cuts against a short EPB.</w:t>
      </w:r>
    </w:p>
    <w:p>
      <w:pPr>
        <w:pStyle w:val="ListParagraph"/>
        <w:numPr>
          <w:ilvl w:val="0"/>
          <w:numId w:val="2"/>
        </w:numPr>
        <w:spacing w:after="80"/>
      </w:pPr>
      <w:r>
        <w:rPr>
          <w:rFonts w:ascii="Calibri" w:cs="Calibri" w:eastAsia="Calibri" w:hAnsi="Calibri"/>
          <w:b/>
          <w:bCs/>
          <w:sz w:val="21"/>
          <w:szCs w:val="21"/>
        </w:rPr>
        <w:t xml:space="preserve">Technology and offering life. </w:t>
      </w:r>
      <w:r>
        <w:rPr>
          <w:rFonts w:ascii="Calibri" w:cs="Calibri" w:eastAsia="Calibri" w:hAnsi="Calibri"/>
          <w:sz w:val="21"/>
          <w:szCs w:val="21"/>
        </w:rPr>
        <w:t xml:space="preserve">The expected life of the current SaaS offering, including whether a successor product would require re-selling the customer.</w:t>
      </w:r>
    </w:p>
    <w:p>
      <w:pPr>
        <w:pStyle w:val="ListParagraph"/>
        <w:numPr>
          <w:ilvl w:val="0"/>
          <w:numId w:val="2"/>
        </w:numPr>
        <w:spacing w:after="80"/>
      </w:pPr>
      <w:r>
        <w:rPr>
          <w:rFonts w:ascii="Calibri" w:cs="Calibri" w:eastAsia="Calibri" w:hAnsi="Calibri"/>
          <w:b/>
          <w:bCs/>
          <w:sz w:val="21"/>
          <w:szCs w:val="21"/>
        </w:rPr>
        <w:t xml:space="preserve">Segmentation. </w:t>
      </w:r>
      <w:r>
        <w:rPr>
          <w:rFonts w:ascii="Calibri" w:cs="Calibri" w:eastAsia="Calibri" w:hAnsi="Calibri"/>
          <w:sz w:val="21"/>
          <w:szCs w:val="21"/>
        </w:rPr>
        <w:t xml:space="preserve">A single portfolio-wide EPB may not be appropriate if enterprise and mid-market cohorts churn differently. Applying the EPB at the portfolio level requires that the contracts have similar characteristics (ASC 340-40-35-1 permits a portfolio approach where the effect is not materially different).</w:t>
      </w:r>
    </w:p>
    <w:p>
      <w:pPr>
        <w:spacing w:after="120"/>
      </w:pPr>
      <w:r>
        <w:rPr>
          <w:rFonts w:ascii="Calibri" w:cs="Calibri" w:eastAsia="Calibri" w:hAnsi="Calibri"/>
          <w:sz w:val="21"/>
          <w:szCs w:val="21"/>
        </w:rPr>
        <w:t xml:space="preserve">Straight-line amortization over the EPB is acceptable only if it faithfully depicts the transfer of the related services. Where a material right has been recognized, consider whether a pattern weighted toward the periods in which the related performance obligations are satisfied is more representationally faithful. Any change to the EPB is a </w:t>
      </w:r>
      <w:r>
        <w:rPr>
          <w:rFonts w:ascii="Calibri" w:cs="Calibri" w:eastAsia="Calibri" w:hAnsi="Calibri"/>
          <w:b/>
          <w:bCs/>
          <w:sz w:val="21"/>
          <w:szCs w:val="21"/>
        </w:rPr>
        <w:t xml:space="preserve">change in accounting estimate</w:t>
      </w:r>
      <w:r>
        <w:rPr>
          <w:rFonts w:ascii="Calibri" w:cs="Calibri" w:eastAsia="Calibri" w:hAnsi="Calibri"/>
          <w:sz w:val="21"/>
          <w:szCs w:val="21"/>
        </w:rPr>
        <w:t xml:space="preserve"> under ASC 250, accounted for prospectively and disclosed if material.</w:t>
      </w:r>
    </w:p>
    <w:p>
      <w:pPr>
        <w:pStyle w:val="Heading1"/>
        <w:spacing w:after="160" w:before="320"/>
      </w:pPr>
      <w:r>
        <w:rPr>
          <w:rFonts w:ascii="Calibri" w:cs="Calibri" w:eastAsia="Calibri" w:hAnsi="Calibri"/>
          <w:b/>
          <w:bCs/>
          <w:color w:val="1F3864"/>
          <w:sz w:val="26"/>
          <w:szCs w:val="26"/>
        </w:rPr>
        <w:t xml:space="preserve">6. Question 3 — Eligibility for the One-Year Practical Expedient</w:t>
      </w:r>
    </w:p>
    <w:p>
      <w:pPr>
        <w:spacing w:after="120"/>
      </w:pPr>
      <w:r>
        <w:rPr>
          <w:rFonts w:ascii="Calibri" w:cs="Calibri" w:eastAsia="Calibri" w:hAnsi="Calibri"/>
          <w:sz w:val="21"/>
          <w:szCs w:val="21"/>
        </w:rPr>
        <w:t xml:space="preserve">ASC 340-40-25-4 permits an entity to recognize the incremental costs of obtaining a contract as an expense when incurred if the amortization period of the asset the entity otherwise would have recognized is one year or less.</w:t>
      </w:r>
    </w:p>
    <w:p>
      <w:pPr>
        <w:spacing w:after="120"/>
      </w:pPr>
      <w:r>
        <w:rPr>
          <w:rFonts w:ascii="Calibri" w:cs="Calibri" w:eastAsia="Calibri" w:hAnsi="Calibri"/>
          <w:sz w:val="21"/>
          <w:szCs w:val="21"/>
        </w:rPr>
        <w:t xml:space="preserve">The determinative point is the object of the one-year test. The expedient tests the </w:t>
      </w:r>
      <w:r>
        <w:rPr>
          <w:rFonts w:ascii="Calibri" w:cs="Calibri" w:eastAsia="Calibri" w:hAnsi="Calibri"/>
          <w:b/>
          <w:bCs/>
          <w:sz w:val="21"/>
          <w:szCs w:val="21"/>
        </w:rPr>
        <w:t xml:space="preserve">amortization period</w:t>
      </w:r>
      <w:r>
        <w:rPr>
          <w:rFonts w:ascii="Calibri" w:cs="Calibri" w:eastAsia="Calibri" w:hAnsi="Calibri"/>
          <w:sz w:val="21"/>
          <w:szCs w:val="21"/>
        </w:rPr>
        <w:t xml:space="preserve">, not the contract term, not the subscription length, and not the billing cycle. Management's framing — "the initial contract term is exactly one year" — applies the test to the wrong variable.</w:t>
      </w:r>
    </w:p>
    <w:p>
      <w:pPr>
        <w:spacing w:after="120"/>
      </w:pPr>
      <w:r>
        <w:rPr>
          <w:rFonts w:ascii="Calibri" w:cs="Calibri" w:eastAsia="Calibri" w:hAnsi="Calibri"/>
          <w:sz w:val="21"/>
          <w:szCs w:val="21"/>
        </w:rPr>
        <w:t xml:space="preserve">Sections 4 and 5 establish, on two independent grounds, that the amortization period is the Estimated Period of Benefit and exceeds twelve months:</w:t>
      </w:r>
    </w:p>
    <w:p>
      <w:pPr>
        <w:pStyle w:val="ListParagraph"/>
        <w:numPr>
          <w:ilvl w:val="0"/>
          <w:numId w:val="2"/>
        </w:numPr>
        <w:spacing w:after="80"/>
      </w:pPr>
      <w:r>
        <w:rPr>
          <w:rFonts w:ascii="Calibri" w:cs="Calibri" w:eastAsia="Calibri" w:hAnsi="Calibri"/>
          <w:sz w:val="21"/>
          <w:szCs w:val="21"/>
        </w:rPr>
        <w:t xml:space="preserve">The 15% renewal discount likely constitutes a material right, allocating Year 1 consideration to a performance obligation satisfied in Year 2; and</w:t>
      </w:r>
    </w:p>
    <w:p>
      <w:pPr>
        <w:pStyle w:val="ListParagraph"/>
        <w:numPr>
          <w:ilvl w:val="0"/>
          <w:numId w:val="2"/>
        </w:numPr>
        <w:spacing w:after="80"/>
      </w:pPr>
      <w:r>
        <w:rPr>
          <w:rFonts w:ascii="Calibri" w:cs="Calibri" w:eastAsia="Calibri" w:hAnsi="Calibri"/>
          <w:sz w:val="21"/>
          <w:szCs w:val="21"/>
        </w:rPr>
        <w:t xml:space="preserve">The 0.5% renewal funding rate is not commensurate with the 3.5% initial rate, so the initial payment compensates for anticipated renewals.</w:t>
      </w:r>
    </w:p>
    <w:p>
      <w:pPr>
        <w:spacing w:after="140" w:before="140"/>
      </w:pPr>
      <w:r>
        <w:rPr>
          <w:rFonts w:ascii="Calibri" w:cs="Calibri" w:eastAsia="Calibri" w:hAnsi="Calibri"/>
          <w:sz w:val="21"/>
          <w:szCs w:val="21"/>
        </w:rPr>
        <w:t xml:space="preserve">Conclusion: the practical expedient is </w:t>
      </w:r>
      <w:r>
        <w:rPr>
          <w:rFonts w:ascii="Calibri" w:cs="Calibri" w:eastAsia="Calibri" w:hAnsi="Calibri"/>
          <w:b/>
          <w:bCs/>
          <w:sz w:val="21"/>
          <w:szCs w:val="21"/>
        </w:rPr>
        <w:t xml:space="preserve">not available</w:t>
      </w:r>
      <w:r>
        <w:rPr>
          <w:rFonts w:ascii="Calibri" w:cs="Calibri" w:eastAsia="Calibri" w:hAnsi="Calibri"/>
          <w:sz w:val="21"/>
          <w:szCs w:val="21"/>
        </w:rPr>
        <w:t xml:space="preserve"> for commissions attributable to initial 12-month terms. A commission earned on an initial contract not exceeding one year does not qualify where renewals are expected and renewal commissions are not commensurate — this is precisely the fact pattern the guidance contemplates.</w:t>
      </w:r>
    </w:p>
    <w:p>
      <w:pPr>
        <w:pStyle w:val="Heading2"/>
        <w:spacing w:after="120" w:before="240"/>
      </w:pPr>
      <w:r>
        <w:rPr>
          <w:rFonts w:ascii="Calibri" w:cs="Calibri" w:eastAsia="Calibri" w:hAnsi="Calibri"/>
          <w:b/>
          <w:bCs/>
          <w:color w:val="2E5496"/>
          <w:sz w:val="22"/>
          <w:szCs w:val="22"/>
        </w:rPr>
        <w:t xml:space="preserve">6.1 Where the expedient remains available</w:t>
      </w:r>
    </w:p>
    <w:p>
      <w:pPr>
        <w:spacing w:after="120"/>
      </w:pPr>
      <w:r>
        <w:rPr>
          <w:rFonts w:ascii="Calibri" w:cs="Calibri" w:eastAsia="Calibri" w:hAnsi="Calibri"/>
          <w:sz w:val="21"/>
          <w:szCs w:val="21"/>
        </w:rPr>
        <w:t xml:space="preserve">Renewal-period commissions are a separate question. Consistent with the TRG implementation guidance on renewal commissions, a commission paid on a renewal is amortized over the renewal contract period where each renewal carries its own commensurate commission. If each successive renewal is funded at the same 0.5% rate, those renewal commissions are commensurate with one another, the amortization period for each is the 12-month renewal term, and the practical expedient may be applied to them. Electing the expedient for renewals while capitalizing initial commissions is a defensible and common position, provided the classes are defined and applied consistently.</w:t>
      </w:r>
    </w:p>
    <w:p>
      <w:pPr>
        <w:pStyle w:val="Heading2"/>
        <w:spacing w:after="120" w:before="240"/>
      </w:pPr>
      <w:r>
        <w:rPr>
          <w:rFonts w:ascii="Calibri" w:cs="Calibri" w:eastAsia="Calibri" w:hAnsi="Calibri"/>
          <w:b/>
          <w:bCs/>
          <w:color w:val="2E5496"/>
          <w:sz w:val="22"/>
          <w:szCs w:val="22"/>
        </w:rPr>
        <w:t xml:space="preserve">6.2 Two cautions</w:t>
      </w:r>
    </w:p>
    <w:p>
      <w:pPr>
        <w:pStyle w:val="ListParagraph"/>
        <w:numPr>
          <w:ilvl w:val="0"/>
          <w:numId w:val="2"/>
        </w:numPr>
        <w:spacing w:after="80"/>
      </w:pPr>
      <w:r>
        <w:rPr>
          <w:rFonts w:ascii="Calibri" w:cs="Calibri" w:eastAsia="Calibri" w:hAnsi="Calibri"/>
          <w:b/>
          <w:bCs/>
          <w:sz w:val="21"/>
          <w:szCs w:val="21"/>
        </w:rPr>
        <w:t xml:space="preserve">Do not conflate ineligibility with the expedient. </w:t>
      </w:r>
      <w:r>
        <w:rPr>
          <w:rFonts w:ascii="Calibri" w:cs="Calibri" w:eastAsia="Calibri" w:hAnsi="Calibri"/>
          <w:sz w:val="21"/>
          <w:szCs w:val="21"/>
        </w:rPr>
        <w:t xml:space="preserve">If, per Section 3, Pool costs are expensed because they are not incremental costs of obtaining a contract, that is a failure of ASC 340-40-25-1 — not an election under 340-40-25-4. Describing it as the practical expedient in the footnote invites a comment letter and misstates the basis of the policy.</w:t>
      </w:r>
    </w:p>
    <w:p>
      <w:pPr>
        <w:pStyle w:val="ListParagraph"/>
        <w:numPr>
          <w:ilvl w:val="0"/>
          <w:numId w:val="2"/>
        </w:numPr>
        <w:spacing w:after="80"/>
      </w:pPr>
      <w:r>
        <w:rPr>
          <w:rFonts w:ascii="Calibri" w:cs="Calibri" w:eastAsia="Calibri" w:hAnsi="Calibri"/>
          <w:b/>
          <w:bCs/>
          <w:sz w:val="21"/>
          <w:szCs w:val="21"/>
        </w:rPr>
        <w:t xml:space="preserve">The expedient is a policy election. </w:t>
      </w:r>
      <w:r>
        <w:rPr>
          <w:rFonts w:ascii="Calibri" w:cs="Calibri" w:eastAsia="Calibri" w:hAnsi="Calibri"/>
          <w:sz w:val="21"/>
          <w:szCs w:val="21"/>
        </w:rPr>
        <w:t xml:space="preserve">It must be applied consistently to similar contracts or classes of contract and disclosed where significant. Document the class definitions in the accounting policy memorandum.</w:t>
      </w:r>
    </w:p>
    <w:p>
      <w:pPr>
        <w:pStyle w:val="Heading1"/>
        <w:spacing w:after="160" w:before="320"/>
      </w:pPr>
      <w:r>
        <w:rPr>
          <w:rFonts w:ascii="Calibri" w:cs="Calibri" w:eastAsia="Calibri" w:hAnsi="Calibri"/>
          <w:b/>
          <w:bCs/>
          <w:color w:val="1F3864"/>
          <w:sz w:val="26"/>
          <w:szCs w:val="26"/>
        </w:rPr>
        <w:t xml:space="preserve">7. Question 4 — Draft Footnote Disclosure</w:t>
      </w:r>
    </w:p>
    <w:p>
      <w:pPr>
        <w:spacing w:after="120"/>
      </w:pPr>
      <w:r>
        <w:rPr>
          <w:rFonts w:ascii="Calibri" w:cs="Calibri" w:eastAsia="Calibri" w:hAnsi="Calibri"/>
          <w:sz w:val="21"/>
          <w:szCs w:val="21"/>
        </w:rPr>
        <w:t xml:space="preserve">Two variants follow. Variant A reflects the current Plan design and the Section 3 threshold conclusion. Variant B is the disclosure that would apply following the plan amendments recommended in Section 8. Bracketed italics indicate figures and judgments to be completed from company records.</w:t>
      </w:r>
    </w:p>
    <w:p>
      <w:pPr>
        <w:pStyle w:val="Heading2"/>
        <w:spacing w:after="120" w:before="240"/>
      </w:pPr>
      <w:r>
        <w:rPr>
          <w:rFonts w:ascii="Calibri" w:cs="Calibri" w:eastAsia="Calibri" w:hAnsi="Calibri"/>
          <w:b/>
          <w:bCs/>
          <w:color w:val="2E5496"/>
          <w:sz w:val="22"/>
          <w:szCs w:val="22"/>
        </w:rPr>
        <w:t xml:space="preserve">Variant A — Current Plan design (costs not capitalized)</w:t>
      </w:r>
    </w:p>
    <w:p>
      <w:pPr>
        <w:pBdr>
          <w:left w:val="single" w:color="2E5496" w:sz="12" w:space="8"/>
        </w:pBdr>
        <w:spacing w:after="120" w:before="120"/>
        <w:ind w:left="431" w:right="431"/>
      </w:pPr>
      <w:r>
        <w:rPr>
          <w:rFonts w:ascii="Calibri" w:cs="Calibri" w:eastAsia="Calibri" w:hAnsi="Calibri"/>
          <w:b/>
          <w:bCs/>
          <w:sz w:val="21"/>
          <w:szCs w:val="21"/>
        </w:rPr>
        <w:t xml:space="preserve">Costs to Obtain a Contract with a Customer</w:t>
      </w:r>
    </w:p>
    <w:p>
      <w:pPr>
        <w:pBdr>
          <w:left w:val="single" w:color="2E5496" w:sz="12" w:space="8"/>
        </w:pBdr>
        <w:spacing w:after="120"/>
        <w:ind w:left="431" w:right="431"/>
      </w:pPr>
      <w:r>
        <w:rPr>
          <w:rFonts w:ascii="Calibri" w:cs="Calibri" w:eastAsia="Calibri" w:hAnsi="Calibri"/>
          <w:sz w:val="20"/>
          <w:szCs w:val="20"/>
        </w:rPr>
        <w:t xml:space="preserve">The Company operates a regional performance bonus pool for its sales organization. Pool funding is determined at the regional level based on aggregate new annual recurring revenue and is subject to minimum regional quota attainment thresholds; distributions to individual participants are determined by a combination of relative base salary and management's assessment of individual objective attainment, and are conditioned on continued employment through the end of the applicable performance period.</w:t>
      </w:r>
    </w:p>
    <w:p>
      <w:pPr>
        <w:pBdr>
          <w:left w:val="single" w:color="2E5496" w:sz="12" w:space="8"/>
        </w:pBdr>
        <w:spacing w:after="120"/>
        <w:ind w:left="431" w:right="431"/>
      </w:pPr>
      <w:r>
        <w:rPr>
          <w:rFonts w:ascii="Calibri" w:cs="Calibri" w:eastAsia="Calibri" w:hAnsi="Calibri"/>
          <w:sz w:val="20"/>
          <w:szCs w:val="20"/>
        </w:rPr>
        <w:t xml:space="preserve">Because these amounts are not attributable to any specific contract with a customer, are contingent on collective regional performance, and are determined in part on a discretionary basis, they do not represent incremental costs of obtaining a contract as defined in ASC 340-40. The Company therefore recognizes these costs as sales and marketing expense in the period incurred. Sales and marketing expense includes $[X.X] million, $[X.X] million and $[X.X] million of such pool costs for the years ended [dates]. The Company did not apply the practical expedient in ASC 340-40-25-4 in reaching this conclusion.</w:t>
      </w:r>
    </w:p>
    <w:p>
      <w:pPr>
        <w:pBdr>
          <w:left w:val="single" w:color="2E5496" w:sz="12" w:space="8"/>
        </w:pBdr>
        <w:spacing w:after="120"/>
        <w:ind w:left="431" w:right="431"/>
      </w:pPr>
      <w:r>
        <w:rPr>
          <w:rFonts w:ascii="Calibri" w:cs="Calibri" w:eastAsia="Calibri" w:hAnsi="Calibri"/>
          <w:sz w:val="20"/>
          <w:szCs w:val="20"/>
        </w:rPr>
        <w:t xml:space="preserve">Certain SaaS subscription contracts include a customer option to renew for an additional twelve-month term at a stated discount to the initial-term price. The Company evaluates whether such options convey a material right by comparing the contractual discount to the range of discounts typically granted to the relevant class of customer. Where the option conveys a material right, a portion of the transaction price is allocated to the option based on its estimated standalone selling price, taking into account the discount available on exercise and the likelihood of exercise, and is recognized as revenue when the option is exercised or expires.</w:t>
      </w:r>
    </w:p>
    <w:p>
      <w:pPr>
        <w:pStyle w:val="Heading2"/>
        <w:spacing w:after="120" w:before="240"/>
      </w:pPr>
      <w:r>
        <w:rPr>
          <w:rFonts w:ascii="Calibri" w:cs="Calibri" w:eastAsia="Calibri" w:hAnsi="Calibri"/>
          <w:b/>
          <w:bCs/>
          <w:color w:val="2E5496"/>
          <w:sz w:val="22"/>
          <w:szCs w:val="22"/>
        </w:rPr>
        <w:t xml:space="preserve">Variant B — Following plan amendment (asset capitalized over the EPB)</w:t>
      </w:r>
    </w:p>
    <w:p>
      <w:pPr>
        <w:pBdr>
          <w:left w:val="single" w:color="2E5496" w:sz="12" w:space="8"/>
        </w:pBdr>
        <w:spacing w:after="120"/>
        <w:ind w:left="431" w:right="431"/>
      </w:pPr>
      <w:r>
        <w:rPr>
          <w:rFonts w:ascii="Calibri" w:cs="Calibri" w:eastAsia="Calibri" w:hAnsi="Calibri"/>
          <w:b/>
          <w:bCs/>
          <w:sz w:val="21"/>
          <w:szCs w:val="21"/>
        </w:rPr>
        <w:t xml:space="preserve">Costs to Obtain a Contract with a Customer</w:t>
      </w:r>
    </w:p>
    <w:p>
      <w:pPr>
        <w:pBdr>
          <w:left w:val="single" w:color="2E5496" w:sz="12" w:space="8"/>
        </w:pBdr>
        <w:spacing w:after="120"/>
        <w:ind w:left="431" w:right="431"/>
      </w:pPr>
      <w:r>
        <w:rPr>
          <w:rFonts w:ascii="Calibri" w:cs="Calibri" w:eastAsia="Calibri" w:hAnsi="Calibri"/>
          <w:b w:val="false"/>
          <w:bCs w:val="false"/>
          <w:sz w:val="20"/>
          <w:szCs w:val="20"/>
        </w:rPr>
        <w:t xml:space="preserve">The Company capitalizes incremental costs of obtaining a contract with a customer, consisting primarily of sales commissions that are directly attributable to and would not have been incurred absent obtaining a specific contract. Amounts determined on a discretionary basis, allocated by reference to base compensation, or contingent on aggregate regional performance are not capitalized and are expensed as incurred.</w:t>
      </w:r>
    </w:p>
    <w:p>
      <w:pPr>
        <w:pBdr>
          <w:left w:val="single" w:color="2E5496" w:sz="12" w:space="8"/>
        </w:pBdr>
        <w:spacing w:after="120"/>
        <w:ind w:left="431" w:right="431"/>
      </w:pPr>
      <w:r>
        <w:rPr>
          <w:rFonts w:ascii="Calibri" w:cs="Calibri" w:eastAsia="Calibri" w:hAnsi="Calibri"/>
          <w:b w:val="false"/>
          <w:bCs w:val="false"/>
          <w:sz w:val="20"/>
          <w:szCs w:val="20"/>
        </w:rPr>
        <w:t xml:space="preserve">Commissions paid on initial subscription contracts are not commensurate with commissions paid on subsequent renewals of those contracts. Accordingly, capitalized commissions related to initial contracts are amortized on a straight-line basis over the estimated period of benefit of the underlying customer relationship, which the Company has determined to be [X] years, rather than over the twelve-month initial contract term. The estimated period of benefit is determined by reference to historical customer retention rates and expected customer life, the expected life of the Company's subscription offerings, and the effect of contractual renewal options that provide customers a stated discount on renewal. Commissions paid on contract renewals are commensurate with commissions paid on subsequent renewals and are amortized over the related renewal term; consistent with the practical expedient in ASC 340-40-25-4, the Company expenses such costs as incurred where the amortization period is one year or less.</w:t>
      </w:r>
    </w:p>
    <w:p>
      <w:pPr>
        <w:pBdr>
          <w:left w:val="single" w:color="2E5496" w:sz="12" w:space="8"/>
        </w:pBdr>
        <w:spacing w:after="120"/>
        <w:ind w:left="431" w:right="431"/>
      </w:pPr>
      <w:r>
        <w:rPr>
          <w:rFonts w:ascii="Calibri" w:cs="Calibri" w:eastAsia="Calibri" w:hAnsi="Calibri"/>
          <w:b w:val="false"/>
          <w:bCs w:val="false"/>
          <w:sz w:val="20"/>
          <w:szCs w:val="20"/>
        </w:rPr>
        <w:t xml:space="preserve">Amortization of capitalized contract acquisition costs is presented within sales and marketing expense and totaled $[X.X] million, $[X.X] million and $[X.X] million for the years ended [dates]. Capitalized contract acquisition costs of $[X.X] million and $[X.X] million are included in prepaid expenses and other current assets and other assets, respectively, as of [date]. The Company periodically reviews these assets for impairment in accordance with ASC 340-40-35-3, comparing the carrying amount to the remaining consideration the Company expects to receive in exchange for the related goods and services, less directly related costs not yet recognized. No impairment losses were recognized in the periods presented. A change in the estimated period of benefit is accounted for prospectively as a change in accounting estimate.</w:t>
      </w:r>
    </w:p>
    <w:p>
      <w:pPr>
        <w:spacing w:before="140"/>
      </w:pPr>
      <w:r>
        <w:rPr>
          <w:rFonts w:ascii="Calibri" w:cs="Calibri" w:eastAsia="Calibri" w:hAnsi="Calibri"/>
          <w:i/>
          <w:iCs/>
          <w:sz w:val="21"/>
          <w:szCs w:val="21"/>
        </w:rPr>
        <w:t xml:space="preserve">Both variants should be read together with the revenue policy note, which must describe the identification of performance obligations, including material rights arising from renewal options, and the allocation of transaction price on a relative standalone selling price basis.</w:t>
      </w:r>
    </w:p>
    <w:p>
      <w:pPr>
        <w:pStyle w:val="Heading1"/>
        <w:spacing w:after="160" w:before="320"/>
      </w:pPr>
      <w:r>
        <w:rPr>
          <w:rFonts w:ascii="Calibri" w:cs="Calibri" w:eastAsia="Calibri" w:hAnsi="Calibri"/>
          <w:b/>
          <w:bCs/>
          <w:color w:val="1F3864"/>
          <w:sz w:val="26"/>
          <w:szCs w:val="26"/>
        </w:rPr>
        <w:t xml:space="preserve">8. Recommendations and Required Documentation</w:t>
      </w:r>
    </w:p>
    <w:p>
      <w:pPr>
        <w:pStyle w:val="Heading2"/>
        <w:spacing w:after="120" w:before="240"/>
      </w:pPr>
      <w:r>
        <w:rPr>
          <w:rFonts w:ascii="Calibri" w:cs="Calibri" w:eastAsia="Calibri" w:hAnsi="Calibri"/>
          <w:b/>
          <w:bCs/>
          <w:color w:val="2E5496"/>
          <w:sz w:val="22"/>
          <w:szCs w:val="22"/>
        </w:rPr>
        <w:t xml:space="preserve">8.1 Plan design</w:t>
      </w:r>
    </w:p>
    <w:p>
      <w:pPr>
        <w:pStyle w:val="ListParagraph"/>
        <w:numPr>
          <w:ilvl w:val="0"/>
          <w:numId w:val="4"/>
        </w:numPr>
        <w:spacing w:after="80"/>
      </w:pPr>
      <w:r>
        <w:rPr>
          <w:rFonts w:ascii="Calibri" w:cs="Calibri" w:eastAsia="Calibri" w:hAnsi="Calibri"/>
          <w:b/>
          <w:bCs/>
          <w:sz w:val="21"/>
          <w:szCs w:val="21"/>
        </w:rPr>
        <w:t xml:space="preserve">Resolve the conflicting Section 3. </w:t>
      </w:r>
      <w:r>
        <w:rPr>
          <w:rFonts w:ascii="Calibri" w:cs="Calibri" w:eastAsia="Calibri" w:hAnsi="Calibri"/>
          <w:sz w:val="21"/>
          <w:szCs w:val="21"/>
        </w:rPr>
        <w:t xml:space="preserve">The original Plan and the SaaS Addendum both contain a Section 3 with different funding mechanics (quota-gated with a 1.5x accelerator versus flat 3.5%/0.5%). Amend so that a single provision governs SaaS subscriptions, and state expressly whether the 85% gate and accelerator apply.</w:t>
      </w:r>
    </w:p>
    <w:p>
      <w:pPr>
        <w:pStyle w:val="ListParagraph"/>
        <w:numPr>
          <w:ilvl w:val="0"/>
          <w:numId w:val="4"/>
        </w:numPr>
        <w:spacing w:after="80"/>
      </w:pPr>
      <w:r>
        <w:rPr>
          <w:rFonts w:ascii="Calibri" w:cs="Calibri" w:eastAsia="Calibri" w:hAnsi="Calibri"/>
          <w:b/>
          <w:bCs/>
          <w:sz w:val="21"/>
          <w:szCs w:val="21"/>
        </w:rPr>
        <w:t xml:space="preserve">Bifurcate the Pool. </w:t>
      </w:r>
      <w:r>
        <w:rPr>
          <w:rFonts w:ascii="Calibri" w:cs="Calibri" w:eastAsia="Calibri" w:hAnsi="Calibri"/>
          <w:sz w:val="21"/>
          <w:szCs w:val="21"/>
        </w:rPr>
        <w:t xml:space="preserve">If capitalization is desired, split the arrangement into (a) a formulaic, contract-traceable commission calculated as a fixed percentage of the specific contract's ARR and payable on execution, and (b) a residual discretionary team bonus. Only element (a) is a candidate for capitalization; element (b) is expensed as incurred.</w:t>
      </w:r>
    </w:p>
    <w:p>
      <w:pPr>
        <w:pStyle w:val="ListParagraph"/>
        <w:numPr>
          <w:ilvl w:val="0"/>
          <w:numId w:val="4"/>
        </w:numPr>
        <w:spacing w:after="80"/>
      </w:pPr>
      <w:r>
        <w:rPr>
          <w:rFonts w:ascii="Calibri" w:cs="Calibri" w:eastAsia="Calibri" w:hAnsi="Calibri"/>
          <w:b/>
          <w:bCs/>
          <w:sz w:val="21"/>
          <w:szCs w:val="21"/>
        </w:rPr>
        <w:t xml:space="preserve">Reconsider the 0.5% renewal rate. </w:t>
      </w:r>
      <w:r>
        <w:rPr>
          <w:rFonts w:ascii="Calibri" w:cs="Calibri" w:eastAsia="Calibri" w:hAnsi="Calibri"/>
          <w:sz w:val="21"/>
          <w:szCs w:val="21"/>
        </w:rPr>
        <w:t xml:space="preserve">The disproportion is what forces multi-year capitalization and the resulting balance-sheet asset. If management prefers period-cost treatment, raising the renewal rate to a level commensurate with the initial rate is the plan-design lever that achieves it. This is a compensation-strategy decision with accounting consequences, not the reverse.</w:t>
      </w:r>
    </w:p>
    <w:p>
      <w:pPr>
        <w:pStyle w:val="ListParagraph"/>
        <w:numPr>
          <w:ilvl w:val="0"/>
          <w:numId w:val="4"/>
        </w:numPr>
        <w:spacing w:after="80"/>
      </w:pPr>
      <w:r>
        <w:rPr>
          <w:rFonts w:ascii="Calibri" w:cs="Calibri" w:eastAsia="Calibri" w:hAnsi="Calibri"/>
          <w:b/>
          <w:bCs/>
          <w:sz w:val="21"/>
          <w:szCs w:val="21"/>
        </w:rPr>
        <w:t xml:space="preserve">Remove or qualify the rationale language. </w:t>
      </w:r>
      <w:r>
        <w:rPr>
          <w:rFonts w:ascii="Calibri" w:cs="Calibri" w:eastAsia="Calibri" w:hAnsi="Calibri"/>
          <w:sz w:val="21"/>
          <w:szCs w:val="21"/>
        </w:rPr>
        <w:t xml:space="preserve">"[M]inimal sales friction" and "long-term economic benefit of the SaaS subscription lifecycle" are management representations that the initial commission secures a multi-year benefit. If that is not the intended economics, the drafting should be corrected; if it is, the accounting must follow it.</w:t>
      </w:r>
    </w:p>
    <w:p>
      <w:pPr>
        <w:pStyle w:val="Heading2"/>
        <w:spacing w:after="120" w:before="240"/>
      </w:pPr>
      <w:r>
        <w:rPr>
          <w:rFonts w:ascii="Calibri" w:cs="Calibri" w:eastAsia="Calibri" w:hAnsi="Calibri"/>
          <w:b/>
          <w:bCs/>
          <w:color w:val="2E5496"/>
          <w:sz w:val="22"/>
          <w:szCs w:val="22"/>
        </w:rPr>
        <w:t xml:space="preserve">8.2 Evidence to assemble for the auditors</w:t>
      </w:r>
    </w:p>
    <w:p>
      <w:pPr>
        <w:pStyle w:val="ListParagraph"/>
        <w:numPr>
          <w:ilvl w:val="0"/>
          <w:numId w:val="2"/>
        </w:numPr>
        <w:spacing w:after="80"/>
      </w:pPr>
      <w:r>
        <w:rPr>
          <w:rFonts w:ascii="Calibri" w:cs="Calibri" w:eastAsia="Calibri" w:hAnsi="Calibri"/>
          <w:sz w:val="21"/>
          <w:szCs w:val="21"/>
        </w:rPr>
        <w:t xml:space="preserve">Trailing eight-quarter distribution of realized renewal discounts by customer class and geography, to test whether 15% is incremental to typical discounting (ASC 606-10-55-43).</w:t>
      </w:r>
    </w:p>
    <w:p>
      <w:pPr>
        <w:pStyle w:val="ListParagraph"/>
        <w:numPr>
          <w:ilvl w:val="0"/>
          <w:numId w:val="2"/>
        </w:numPr>
        <w:spacing w:after="80"/>
      </w:pPr>
      <w:r>
        <w:rPr>
          <w:rFonts w:ascii="Calibri" w:cs="Calibri" w:eastAsia="Calibri" w:hAnsi="Calibri"/>
          <w:sz w:val="21"/>
          <w:szCs w:val="21"/>
        </w:rPr>
        <w:t xml:space="preserve">Cohort retention analysis supporting the EPB, with the calculation of expected customer life and a sensitivity showing the effect of a one-year change in the EPB.</w:t>
      </w:r>
    </w:p>
    <w:p>
      <w:pPr>
        <w:pStyle w:val="ListParagraph"/>
        <w:numPr>
          <w:ilvl w:val="0"/>
          <w:numId w:val="2"/>
        </w:numPr>
        <w:spacing w:after="80"/>
      </w:pPr>
      <w:r>
        <w:rPr>
          <w:rFonts w:ascii="Calibri" w:cs="Calibri" w:eastAsia="Calibri" w:hAnsi="Calibri"/>
          <w:sz w:val="21"/>
          <w:szCs w:val="21"/>
        </w:rPr>
        <w:t xml:space="preserve">Standalone selling price analysis for the Year 2 subscription and for the renewal option, including the estimated exercise probability.</w:t>
      </w:r>
    </w:p>
    <w:p>
      <w:pPr>
        <w:pStyle w:val="ListParagraph"/>
        <w:numPr>
          <w:ilvl w:val="0"/>
          <w:numId w:val="2"/>
        </w:numPr>
        <w:spacing w:after="80"/>
      </w:pPr>
      <w:r>
        <w:rPr>
          <w:rFonts w:ascii="Calibri" w:cs="Calibri" w:eastAsia="Calibri" w:hAnsi="Calibri"/>
          <w:sz w:val="21"/>
          <w:szCs w:val="21"/>
        </w:rPr>
        <w:t xml:space="preserve">Portfolio-approach memorandum, if applied, demonstrating that the effect is not materially different from contract-level application.</w:t>
      </w:r>
    </w:p>
    <w:p>
      <w:pPr>
        <w:pStyle w:val="ListParagraph"/>
        <w:numPr>
          <w:ilvl w:val="0"/>
          <w:numId w:val="2"/>
        </w:numPr>
        <w:spacing w:after="80"/>
      </w:pPr>
      <w:r>
        <w:rPr>
          <w:rFonts w:ascii="Calibri" w:cs="Calibri" w:eastAsia="Calibri" w:hAnsi="Calibri"/>
          <w:sz w:val="21"/>
          <w:szCs w:val="21"/>
        </w:rPr>
        <w:t xml:space="preserve">Impairment assessment under ASC 340-40-35-3, incorporating the 180-day clawback provision, which reduces exposure on early-terminating contracts and should be reflected in the recoverability analysis.</w:t>
      </w:r>
    </w:p>
    <w:p>
      <w:pPr>
        <w:pStyle w:val="ListParagraph"/>
        <w:numPr>
          <w:ilvl w:val="0"/>
          <w:numId w:val="2"/>
        </w:numPr>
        <w:spacing w:after="80"/>
      </w:pPr>
      <w:r>
        <w:rPr>
          <w:rFonts w:ascii="Calibri" w:cs="Calibri" w:eastAsia="Calibri" w:hAnsi="Calibri"/>
          <w:sz w:val="21"/>
          <w:szCs w:val="21"/>
        </w:rPr>
        <w:t xml:space="preserve">Accounting policy election memorandum defining the classes of contract to which the practical expedient is and is not applied.</w:t>
      </w:r>
    </w:p>
    <w:p>
      <w:pPr>
        <w:pStyle w:val="Heading2"/>
        <w:spacing w:after="120" w:before="240"/>
      </w:pPr>
      <w:r>
        <w:rPr>
          <w:rFonts w:ascii="Calibri" w:cs="Calibri" w:eastAsia="Calibri" w:hAnsi="Calibri"/>
          <w:b/>
          <w:bCs/>
          <w:color w:val="2E5496"/>
          <w:sz w:val="22"/>
          <w:szCs w:val="22"/>
        </w:rPr>
        <w:t xml:space="preserve">8.3 Open items</w:t>
      </w:r>
    </w:p>
    <w:p>
      <w:pPr>
        <w:pStyle w:val="ListParagraph"/>
        <w:numPr>
          <w:ilvl w:val="0"/>
          <w:numId w:val="2"/>
        </w:numPr>
        <w:spacing w:after="80"/>
      </w:pPr>
      <w:r>
        <w:rPr>
          <w:rFonts w:ascii="Calibri" w:cs="Calibri" w:eastAsia="Calibri" w:hAnsi="Calibri"/>
          <w:b/>
          <w:bCs/>
          <w:sz w:val="21"/>
          <w:szCs w:val="21"/>
        </w:rPr>
        <w:t xml:space="preserve">Clawback measurement. </w:t>
      </w:r>
      <w:r>
        <w:rPr>
          <w:rFonts w:ascii="Calibri" w:cs="Calibri" w:eastAsia="Calibri" w:hAnsi="Calibri"/>
          <w:sz w:val="21"/>
          <w:szCs w:val="21"/>
        </w:rPr>
        <w:t xml:space="preserve">Section 5 of the Plan adjusts a subsequent quarter's pool funding rather than recovering from the individual. Determine whether the clawback should be reflected as variable consideration in the cost estimate or accounted for when the adjustment becomes probable.</w:t>
      </w:r>
    </w:p>
    <w:p>
      <w:pPr>
        <w:pStyle w:val="ListParagraph"/>
        <w:numPr>
          <w:ilvl w:val="0"/>
          <w:numId w:val="2"/>
        </w:numPr>
        <w:spacing w:after="80"/>
      </w:pPr>
      <w:r>
        <w:rPr>
          <w:rFonts w:ascii="Calibri" w:cs="Calibri" w:eastAsia="Calibri" w:hAnsi="Calibri"/>
          <w:b/>
          <w:bCs/>
          <w:sz w:val="21"/>
          <w:szCs w:val="21"/>
        </w:rPr>
        <w:t xml:space="preserve">Employer payroll taxes and fringe. </w:t>
      </w:r>
      <w:r>
        <w:rPr>
          <w:rFonts w:ascii="Calibri" w:cs="Calibri" w:eastAsia="Calibri" w:hAnsi="Calibri"/>
          <w:sz w:val="21"/>
          <w:szCs w:val="21"/>
        </w:rPr>
        <w:t xml:space="preserve">Where a commission is capitalized, associated employer payroll taxes are generally also incremental and should be capitalized on the same basis. Confirm the current treatment.</w:t>
      </w:r>
    </w:p>
    <w:p>
      <w:pPr>
        <w:pStyle w:val="ListParagraph"/>
        <w:numPr>
          <w:ilvl w:val="0"/>
          <w:numId w:val="2"/>
        </w:numPr>
        <w:spacing w:after="80"/>
      </w:pPr>
      <w:r>
        <w:rPr>
          <w:rFonts w:ascii="Calibri" w:cs="Calibri" w:eastAsia="Calibri" w:hAnsi="Calibri"/>
          <w:b/>
          <w:bCs/>
          <w:sz w:val="21"/>
          <w:szCs w:val="21"/>
        </w:rPr>
        <w:t xml:space="preserve">Balance sheet classification. </w:t>
      </w:r>
      <w:r>
        <w:rPr>
          <w:rFonts w:ascii="Calibri" w:cs="Calibri" w:eastAsia="Calibri" w:hAnsi="Calibri"/>
          <w:sz w:val="21"/>
          <w:szCs w:val="21"/>
        </w:rPr>
        <w:t xml:space="preserve">Split the asset between current and non-current based on the amortization schedule.</w:t>
      </w:r>
    </w:p>
    <w:p>
      <w:pPr>
        <w:pStyle w:val="Heading1"/>
        <w:spacing w:after="160" w:before="320"/>
      </w:pPr>
      <w:r>
        <w:rPr>
          <w:rFonts w:ascii="Calibri" w:cs="Calibri" w:eastAsia="Calibri" w:hAnsi="Calibri"/>
          <w:b/>
          <w:bCs/>
          <w:color w:val="1F3864"/>
          <w:sz w:val="26"/>
          <w:szCs w:val="26"/>
        </w:rPr>
        <w:t xml:space="preserve">Appendix A — Retrieval Method and Audit Trail</w:t>
      </w:r>
    </w:p>
    <w:p>
      <w:pPr>
        <w:spacing w:after="120"/>
      </w:pPr>
      <w:r>
        <w:rPr>
          <w:rFonts w:ascii="Calibri" w:cs="Calibri" w:eastAsia="Calibri" w:hAnsi="Calibri"/>
          <w:sz w:val="21"/>
          <w:szCs w:val="21"/>
        </w:rPr>
        <w:t xml:space="preserve">The Plan document was analyzed using a retrieval-augmented generation workflow so that each factual assertion in this memorandum traces to a specific passage. The pipeline (rag_pipeline.py) performs the following steps:</w:t>
      </w:r>
    </w:p>
    <w:p>
      <w:pPr>
        <w:pStyle w:val="ListParagraph"/>
        <w:numPr>
          <w:ilvl w:val="0"/>
          <w:numId w:val="5"/>
        </w:numPr>
        <w:spacing w:after="80"/>
      </w:pPr>
      <w:r>
        <w:rPr>
          <w:rFonts w:ascii="Calibri" w:cs="Calibri" w:eastAsia="Calibri" w:hAnsi="Calibri"/>
          <w:b/>
          <w:bCs/>
          <w:sz w:val="21"/>
          <w:szCs w:val="21"/>
        </w:rPr>
        <w:t xml:space="preserve">Load. </w:t>
      </w:r>
      <w:r>
        <w:rPr>
          <w:rFonts w:ascii="Calibri" w:cs="Calibri" w:eastAsia="Calibri" w:hAnsi="Calibri"/>
          <w:sz w:val="21"/>
          <w:szCs w:val="21"/>
        </w:rPr>
        <w:t xml:space="preserve">All .txt files in ./data are read as source documents.</w:t>
      </w:r>
    </w:p>
    <w:p>
      <w:pPr>
        <w:pStyle w:val="ListParagraph"/>
        <w:numPr>
          <w:ilvl w:val="0"/>
          <w:numId w:val="5"/>
        </w:numPr>
        <w:spacing w:after="80"/>
      </w:pPr>
      <w:r>
        <w:rPr>
          <w:rFonts w:ascii="Calibri" w:cs="Calibri" w:eastAsia="Calibri" w:hAnsi="Calibri"/>
          <w:b/>
          <w:bCs/>
          <w:sz w:val="21"/>
          <w:szCs w:val="21"/>
        </w:rPr>
        <w:t xml:space="preserve">Chunk. </w:t>
      </w:r>
      <w:r>
        <w:rPr>
          <w:rFonts w:ascii="Calibri" w:cs="Calibri" w:eastAsia="Calibri" w:hAnsi="Calibri"/>
          <w:sz w:val="21"/>
          <w:szCs w:val="21"/>
        </w:rPr>
        <w:t xml:space="preserve">The document is split on numbered section headings, preserving the contract's own citation units, then a 160-word sliding window with 40-word overlap is applied within long sections. The overlap prevents the operative facts (3.5% / 0.5% / 12 months / 15%) from being separated from their qualifying language.</w:t>
      </w:r>
    </w:p>
    <w:p>
      <w:pPr>
        <w:pStyle w:val="ListParagraph"/>
        <w:numPr>
          <w:ilvl w:val="0"/>
          <w:numId w:val="5"/>
        </w:numPr>
        <w:spacing w:after="80"/>
      </w:pPr>
      <w:r>
        <w:rPr>
          <w:rFonts w:ascii="Calibri" w:cs="Calibri" w:eastAsia="Calibri" w:hAnsi="Calibri"/>
          <w:b/>
          <w:bCs/>
          <w:sz w:val="21"/>
          <w:szCs w:val="21"/>
        </w:rPr>
        <w:t xml:space="preserve">Embed. </w:t>
      </w:r>
      <w:r>
        <w:rPr>
          <w:rFonts w:ascii="Calibri" w:cs="Calibri" w:eastAsia="Calibri" w:hAnsi="Calibri"/>
          <w:sz w:val="21"/>
          <w:szCs w:val="21"/>
        </w:rPr>
        <w:t xml:space="preserve">A hybrid TF-IDF representation combining word 1-2 grams (to capture phrases such as "renewal option") with character 3-5 grams (to keep numerals such as "3.5%" and "0.5%" matchable) is L2-normalized. This backend is deterministic and offline, which is a deliberate choice for a reproducible workpaper. A dense-embedding backend is available via the --backend openai flag.</w:t>
      </w:r>
    </w:p>
    <w:p>
      <w:pPr>
        <w:pStyle w:val="ListParagraph"/>
        <w:numPr>
          <w:ilvl w:val="0"/>
          <w:numId w:val="5"/>
        </w:numPr>
        <w:spacing w:after="80"/>
      </w:pPr>
      <w:r>
        <w:rPr>
          <w:rFonts w:ascii="Calibri" w:cs="Calibri" w:eastAsia="Calibri" w:hAnsi="Calibri"/>
          <w:b/>
          <w:bCs/>
          <w:sz w:val="21"/>
          <w:szCs w:val="21"/>
        </w:rPr>
        <w:t xml:space="preserve">Retrieve. </w:t>
      </w:r>
      <w:r>
        <w:rPr>
          <w:rFonts w:ascii="Calibri" w:cs="Calibri" w:eastAsia="Calibri" w:hAnsi="Calibri"/>
          <w:sz w:val="21"/>
          <w:szCs w:val="21"/>
        </w:rPr>
        <w:t xml:space="preserve">Each of the four research questions is embedded and scored against the index by cosine similarity; the top k chunks are returned with their scores.</w:t>
      </w:r>
    </w:p>
    <w:p>
      <w:pPr>
        <w:pStyle w:val="ListParagraph"/>
        <w:numPr>
          <w:ilvl w:val="0"/>
          <w:numId w:val="5"/>
        </w:numPr>
        <w:spacing w:after="80"/>
      </w:pPr>
      <w:r>
        <w:rPr>
          <w:rFonts w:ascii="Calibri" w:cs="Calibri" w:eastAsia="Calibri" w:hAnsi="Calibri"/>
          <w:b/>
          <w:bCs/>
          <w:sz w:val="21"/>
          <w:szCs w:val="21"/>
        </w:rPr>
        <w:t xml:space="preserve">Assemble. </w:t>
      </w:r>
      <w:r>
        <w:rPr>
          <w:rFonts w:ascii="Calibri" w:cs="Calibri" w:eastAsia="Calibri" w:hAnsi="Calibri"/>
          <w:sz w:val="21"/>
          <w:szCs w:val="21"/>
        </w:rPr>
        <w:t xml:space="preserve">Retrieved chunks are written to retrieved_context.md with chunk IDs and similarity scores, forming the evidence file supporting this memorandum.</w:t>
      </w:r>
    </w:p>
    <w:p>
      <w:pPr>
        <w:spacing w:after="8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w:t>
            </w:r>
          </w:p>
        </w:tc>
        <w:tc>
          <w:tcPr>
            <w:tcW w:type="dxa" w:w="500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Top-ranked chunk</w:t>
            </w:r>
          </w:p>
        </w:tc>
        <w:tc>
          <w:tcPr>
            <w:tcW w:type="dxa" w:w="3160"/>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Score / observation</w:t>
            </w:r>
          </w:p>
        </w:tc>
      </w:tr>
      <w:tr>
        <w:trPr>
          <w:tblHeader w:val="false"/>
        </w:trPr>
        <w:tc>
          <w:tcPr>
            <w:tcW w:type="dxa" w:w="12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Q1</w:t>
            </w:r>
          </w:p>
        </w:tc>
        <w:tc>
          <w:tcPr>
            <w:tcW w:type="dxa" w:w="5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 — Funding Mechanism &amp; Renewal Stratification</w:t>
            </w:r>
          </w:p>
        </w:tc>
        <w:tc>
          <w:tcPr>
            <w:tcW w:type="dxa" w:w="31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0.406 — contains all four operative facts</w:t>
            </w:r>
          </w:p>
        </w:tc>
      </w:tr>
      <w:tr>
        <w:trPr>
          <w:tblHeader w:val="false"/>
        </w:trPr>
        <w:tc>
          <w:tcPr>
            <w:tcW w:type="dxa" w:w="12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Q2</w:t>
            </w:r>
          </w:p>
        </w:tc>
        <w:tc>
          <w:tcPr>
            <w:tcW w:type="dxa" w:w="5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c>
          <w:tcPr>
            <w:tcW w:type="dxa" w:w="31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0.348 — supported by #S4.1 (0.124) for the quota gate</w:t>
            </w:r>
          </w:p>
        </w:tc>
      </w:tr>
      <w:tr>
        <w:trPr>
          <w:tblHeader w:val="false"/>
        </w:trPr>
        <w:tc>
          <w:tcPr>
            <w:tcW w:type="dxa" w:w="12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Q3</w:t>
            </w:r>
          </w:p>
        </w:tc>
        <w:tc>
          <w:tcPr>
            <w:tcW w:type="dxa" w:w="5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#S8.1</w:t>
            </w:r>
          </w:p>
        </w:tc>
        <w:tc>
          <w:tcPr>
            <w:tcW w:type="dxa" w:w="31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0.312 — supported by #S7.1 (0.180) for the 12-month term</w:t>
            </w:r>
          </w:p>
        </w:tc>
      </w:tr>
      <w:tr>
        <w:trPr>
          <w:tblHeader w:val="false"/>
        </w:trPr>
        <w:tc>
          <w:tcPr>
            <w:tcW w:type="dxa" w:w="12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Q4</w:t>
            </w:r>
          </w:p>
        </w:tc>
        <w:tc>
          <w:tcPr>
            <w:tcW w:type="dxa" w:w="500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#S5.1 — Allocation and Disbursement Logic</w:t>
            </w:r>
          </w:p>
        </w:tc>
        <w:tc>
          <w:tcPr>
            <w:tcW w:type="dxa" w:w="3160"/>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0.149 — low scores across all chunks; see limitation below</w:t>
            </w:r>
          </w:p>
        </w:tc>
      </w:tr>
    </w:tbl>
    <w:p>
      <w:pPr>
        <w:spacing w:after="10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Limitation. </w:t>
      </w:r>
      <w:r>
        <w:rPr>
          <w:rFonts w:ascii="Calibri" w:cs="Calibri" w:eastAsia="Calibri" w:hAnsi="Calibri"/>
          <w:sz w:val="21"/>
          <w:szCs w:val="21"/>
        </w:rPr>
        <w:t xml:space="preserve">Retrieval scores for Q4 are uniformly low (peak 0.149) because the question asks for drafted disclosure language that does not exist anywhere in the corpus. This is the expected and correct behavior of a retrieval system, and it is worth recording: retrieval supplies the </w:t>
      </w:r>
      <w:r>
        <w:rPr>
          <w:rFonts w:ascii="Calibri" w:cs="Calibri" w:eastAsia="Calibri" w:hAnsi="Calibri"/>
          <w:i/>
          <w:iCs/>
          <w:sz w:val="21"/>
          <w:szCs w:val="21"/>
        </w:rPr>
        <w:t xml:space="preserve">facts</w:t>
      </w:r>
      <w:r>
        <w:rPr>
          <w:rFonts w:ascii="Calibri" w:cs="Calibri" w:eastAsia="Calibri" w:hAnsi="Calibri"/>
          <w:sz w:val="21"/>
          <w:szCs w:val="21"/>
        </w:rPr>
        <w:t xml:space="preserve"> of the arrangement, but the accounting conclusions and disclosure language in this memorandum are drawn from the authoritative literature cited in Section 9, not from the Plan document. A RAG workflow over a contract corpus alone cannot answer a question whose answer lives in the Codification. Indexing the relevant ASC and interpretive guidance alongside the contract would be the natural next iteration.</w:t>
      </w:r>
    </w:p>
    <w:p>
      <w:pPr>
        <w:pStyle w:val="Heading1"/>
        <w:spacing w:after="160" w:before="320"/>
      </w:pPr>
      <w:r>
        <w:rPr>
          <w:rFonts w:ascii="Calibri" w:cs="Calibri" w:eastAsia="Calibri" w:hAnsi="Calibri"/>
          <w:b/>
          <w:bCs/>
          <w:color w:val="1F3864"/>
          <w:sz w:val="26"/>
          <w:szCs w:val="26"/>
        </w:rPr>
        <w:t xml:space="preserve">9. Authoritative References</w:t>
      </w:r>
    </w:p>
    <w:p>
      <w:pPr>
        <w:pStyle w:val="ListParagraph"/>
        <w:numPr>
          <w:ilvl w:val="0"/>
          <w:numId w:val="2"/>
        </w:numPr>
        <w:spacing w:after="80"/>
      </w:pPr>
      <w:r>
        <w:rPr>
          <w:rFonts w:ascii="Calibri" w:cs="Calibri" w:eastAsia="Calibri" w:hAnsi="Calibri"/>
          <w:sz w:val="21"/>
          <w:szCs w:val="21"/>
        </w:rPr>
        <w:t xml:space="preserve">ASC 340-40-25-1 — incremental costs of obtaining a contract; recognition as an asset.</w:t>
      </w:r>
    </w:p>
    <w:p>
      <w:pPr>
        <w:pStyle w:val="ListParagraph"/>
        <w:numPr>
          <w:ilvl w:val="0"/>
          <w:numId w:val="2"/>
        </w:numPr>
        <w:spacing w:after="80"/>
      </w:pPr>
      <w:r>
        <w:rPr>
          <w:rFonts w:ascii="Calibri" w:cs="Calibri" w:eastAsia="Calibri" w:hAnsi="Calibri"/>
          <w:sz w:val="21"/>
          <w:szCs w:val="21"/>
        </w:rPr>
        <w:t xml:space="preserve">ASC 340-40-25-3 — costs that would have been incurred regardless of whether the contract was obtained are expensed as incurred.</w:t>
      </w:r>
    </w:p>
    <w:p>
      <w:pPr>
        <w:pStyle w:val="ListParagraph"/>
        <w:numPr>
          <w:ilvl w:val="0"/>
          <w:numId w:val="2"/>
        </w:numPr>
        <w:spacing w:after="80"/>
      </w:pPr>
      <w:r>
        <w:rPr>
          <w:rFonts w:ascii="Calibri" w:cs="Calibri" w:eastAsia="Calibri" w:hAnsi="Calibri"/>
          <w:sz w:val="21"/>
          <w:szCs w:val="21"/>
        </w:rPr>
        <w:t xml:space="preserve">ASC 340-40-25-4 — practical expedient; expense as incurred where the amortization period would be one year or less.</w:t>
      </w:r>
    </w:p>
    <w:p>
      <w:pPr>
        <w:pStyle w:val="ListParagraph"/>
        <w:numPr>
          <w:ilvl w:val="0"/>
          <w:numId w:val="2"/>
        </w:numPr>
        <w:spacing w:after="80"/>
      </w:pPr>
      <w:r>
        <w:rPr>
          <w:rFonts w:ascii="Calibri" w:cs="Calibri" w:eastAsia="Calibri" w:hAnsi="Calibri"/>
          <w:sz w:val="21"/>
          <w:szCs w:val="21"/>
        </w:rPr>
        <w:t xml:space="preserve">ASC 340-40-35-1 — amortization on a systematic basis consistent with the transfer of the related goods or services.</w:t>
      </w:r>
    </w:p>
    <w:p>
      <w:pPr>
        <w:pStyle w:val="ListParagraph"/>
        <w:numPr>
          <w:ilvl w:val="0"/>
          <w:numId w:val="2"/>
        </w:numPr>
        <w:spacing w:after="80"/>
      </w:pPr>
      <w:r>
        <w:rPr>
          <w:rFonts w:ascii="Calibri" w:cs="Calibri" w:eastAsia="Calibri" w:hAnsi="Calibri"/>
          <w:sz w:val="21"/>
          <w:szCs w:val="21"/>
        </w:rPr>
        <w:t xml:space="preserve">ASC 340-40-35-3 through 35-6 — impairment of capitalized contract costs.</w:t>
      </w:r>
    </w:p>
    <w:p>
      <w:pPr>
        <w:pStyle w:val="ListParagraph"/>
        <w:numPr>
          <w:ilvl w:val="0"/>
          <w:numId w:val="2"/>
        </w:numPr>
        <w:spacing w:after="80"/>
      </w:pPr>
      <w:r>
        <w:rPr>
          <w:rFonts w:ascii="Calibri" w:cs="Calibri" w:eastAsia="Calibri" w:hAnsi="Calibri"/>
          <w:sz w:val="21"/>
          <w:szCs w:val="21"/>
        </w:rPr>
        <w:t xml:space="preserve">ASC 340-40-50-1 through 50-3 — disclosure of judgments, closing balances by asset category, and amortization recognized.</w:t>
      </w:r>
    </w:p>
    <w:p>
      <w:pPr>
        <w:pStyle w:val="ListParagraph"/>
        <w:numPr>
          <w:ilvl w:val="0"/>
          <w:numId w:val="2"/>
        </w:numPr>
        <w:spacing w:after="80"/>
      </w:pPr>
      <w:r>
        <w:rPr>
          <w:rFonts w:ascii="Calibri" w:cs="Calibri" w:eastAsia="Calibri" w:hAnsi="Calibri"/>
          <w:sz w:val="21"/>
          <w:szCs w:val="21"/>
        </w:rPr>
        <w:t xml:space="preserve">ASC 606-10-55-41 through 55-45 — customer options for additional goods or services; material rights and their standalone selling price.</w:t>
      </w:r>
    </w:p>
    <w:p>
      <w:pPr>
        <w:pStyle w:val="ListParagraph"/>
        <w:numPr>
          <w:ilvl w:val="0"/>
          <w:numId w:val="2"/>
        </w:numPr>
        <w:spacing w:after="80"/>
      </w:pPr>
      <w:r>
        <w:rPr>
          <w:rFonts w:ascii="Calibri" w:cs="Calibri" w:eastAsia="Calibri" w:hAnsi="Calibri"/>
          <w:sz w:val="21"/>
          <w:szCs w:val="21"/>
        </w:rPr>
        <w:t xml:space="preserve">ASU 2014-09, Basis for Conclusions BC309 — amortization beyond the initial contract term where the renewal commission is not commensurate.</w:t>
      </w:r>
    </w:p>
    <w:p>
      <w:pPr>
        <w:pStyle w:val="ListParagraph"/>
        <w:numPr>
          <w:ilvl w:val="0"/>
          <w:numId w:val="2"/>
        </w:numPr>
        <w:spacing w:after="80"/>
      </w:pPr>
      <w:r>
        <w:rPr>
          <w:rFonts w:ascii="Calibri" w:cs="Calibri" w:eastAsia="Calibri" w:hAnsi="Calibri"/>
          <w:sz w:val="21"/>
          <w:szCs w:val="21"/>
        </w:rPr>
        <w:t xml:space="preserve">FASB/IASB Revenue TRG Agenda Paper 23, Costs to Obtain a Contract (January 2015) — incremental cost analysis and discretionary bonuses.</w:t>
      </w:r>
    </w:p>
    <w:p>
      <w:pPr>
        <w:pStyle w:val="ListParagraph"/>
        <w:numPr>
          <w:ilvl w:val="0"/>
          <w:numId w:val="2"/>
        </w:numPr>
        <w:spacing w:after="80"/>
      </w:pPr>
      <w:r>
        <w:rPr>
          <w:rFonts w:ascii="Calibri" w:cs="Calibri" w:eastAsia="Calibri" w:hAnsi="Calibri"/>
          <w:sz w:val="21"/>
          <w:szCs w:val="21"/>
        </w:rPr>
        <w:t xml:space="preserve">FASB Revenue TRG Agenda Paper 57 and related implementation Q&amp;A (November 2016) — evaluating whether a renewal commission is commensurate; amortization period for renewal commissions.</w:t>
      </w:r>
    </w:p>
    <w:p>
      <w:pPr>
        <w:pStyle w:val="ListParagraph"/>
        <w:numPr>
          <w:ilvl w:val="0"/>
          <w:numId w:val="2"/>
        </w:numPr>
        <w:spacing w:after="80"/>
      </w:pPr>
      <w:r>
        <w:rPr>
          <w:rFonts w:ascii="Calibri" w:cs="Calibri" w:eastAsia="Calibri" w:hAnsi="Calibri"/>
          <w:sz w:val="21"/>
          <w:szCs w:val="21"/>
        </w:rPr>
        <w:t xml:space="preserve">ASC 250-10 — changes in accounting estimate (applicable to revisions of the estimated period of benefit).</w:t>
      </w:r>
    </w:p>
    <w:p>
      <w:pPr>
        <w:pBdr>
          <w:bottom w:val="single" w:color="AAAAAA" w:sz="6" w:space="1"/>
        </w:pBdr>
        <w:spacing w:after="160" w:before="60"/>
      </w:pPr>
      <w:r>
        <w:rPr>
          <w:sz w:val="2"/>
          <w:szCs w:val="2"/>
        </w:rPr>
        <w:t xml:space="preserve"/>
      </w:r>
    </w:p>
    <w:p>
      <w:pPr>
        <w:spacing w:after="120"/>
      </w:pPr>
      <w:r>
        <w:rPr>
          <w:rFonts w:ascii="Calibri" w:cs="Calibri" w:eastAsia="Calibri" w:hAnsi="Calibri"/>
          <w:i/>
          <w:iCs/>
          <w:sz w:val="18"/>
          <w:szCs w:val="18"/>
        </w:rPr>
        <w:t xml:space="preserve">Prepared by Technical Accounting for internal use and for discussion with the Company's independent auditors. This memorandum applies professional judgment to a synthetic plan document and does not constitute legal advice or an audit opinion. Conclusions on the material-right and estimated-period-of-benefit questions are contingent on the empirical evidence identified in Sections 4.1 and 8.2, which has not yet been obtained.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Technical Accounting Memorandum — ASC 340-40 Pooled Commissions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2026-08-05T19:01:18.582Z</dcterms:created>
  <dcterms:modified xsi:type="dcterms:W3CDTF">2026-08-05T19:01:18.583Z</dcterms:modified>
</cp:coreProperties>
</file>

<file path=docProps/custom.xml><?xml version="1.0" encoding="utf-8"?>
<Properties xmlns="http://schemas.openxmlformats.org/officeDocument/2006/custom-properties" xmlns:vt="http://schemas.openxmlformats.org/officeDocument/2006/docPropsVTypes"/>
</file>