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26"/>
        </w:rPr>
        <w:t>UNIVERSIDAD NACIONAL AGRARIA DE LA SELVA</w:t>
      </w:r>
    </w:p>
    <w:p>
      <w:pPr>
        <w:jc w:val="center"/>
      </w:pPr>
      <w:r>
        <w:rPr>
          <w:color w:val="555F6B"/>
          <w:sz w:val="21"/>
        </w:rPr>
        <w:t>Facultad de Ingeniería en Informática y Sistemas</w:t>
      </w:r>
    </w:p>
    <w:p>
      <w:pPr>
        <w:jc w:val="center"/>
      </w:pPr>
      <w:r>
        <w:rPr>
          <w:color w:val="555F6B"/>
          <w:sz w:val="21"/>
        </w:rPr>
        <w:t>Curso: Arquitectura de Software</w:t>
      </w:r>
    </w:p>
    <w:p>
      <w:pPr>
        <w:jc w:val="center"/>
      </w:pPr>
      <w:r>
        <w:rPr>
          <w:color w:val="555F6B"/>
          <w:sz w:val="21"/>
        </w:rPr>
        <w:t>Examen de Medio Curso — Grupo “A”</w:t>
      </w:r>
    </w:p>
    <w:p/>
    <w:p>
      <w:pPr>
        <w:jc w:val="center"/>
      </w:pPr>
      <w:r>
        <w:rPr>
          <w:b/>
          <w:color w:val="1F3A5F"/>
          <w:sz w:val="40"/>
        </w:rPr>
        <w:t>ESQUELETO DE ESPECIFICACIONES TÉCNICAS</w:t>
      </w:r>
    </w:p>
    <w:p>
      <w:pPr>
        <w:jc w:val="center"/>
      </w:pPr>
      <w:r>
        <w:rPr>
          <w:sz w:val="26"/>
        </w:rPr>
        <w:t>Sistema de Facturación Electrónica — ABC Software Corp</w:t>
      </w:r>
    </w:p>
    <w:p>
      <w:pPr>
        <w:jc w:val="center"/>
      </w:pPr>
      <w:r>
        <w:rPr>
          <w:i/>
          <w:color w:val="555F6B"/>
          <w:sz w:val="21"/>
        </w:rPr>
        <w:t>Primera fase (Spec-First): reglas, contratos y arquitectura antes del código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2551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236"/>
            <w:shd w:fill="1F3A5F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Alumno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______________________________________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Docente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______________________________________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Fecha de entrega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22 de octubre de 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Duración del examen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2:00 horas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Cliente del caso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ABC Software Corp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  <w:sz w:val="21"/>
        </w:rPr>
        <w:t>ABC Software Corp comercializa abarrotes al por mayor y menor y opera con fichas informales de almacén. SUNAT le exige emitir comprobantes electrónicos bajo el estándar UBL, validar documentos de identidad, calcular correctamente IGV, ISC e ICBPER y comunicarse con una OSE o con SUNAT. Este documento entrega la primera fase del proyecto: las especificaciones completas para que la implementación se escriba sin reinterpretar el negocio.</w:t>
      </w:r>
    </w:p>
    <w:p>
      <w:r>
        <w:rPr>
          <w:b/>
          <w:i w:val="0"/>
          <w:sz w:val="21"/>
        </w:rPr>
        <w:t>Regla que ordena todo el diseño: sin XML válido y firmado no existe comprobante; ningún comprobante se registra como emitido si no pasó la validación formal y el CDR.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402"/>
        <w:gridCol w:w="3628"/>
        <w:gridCol w:w="1134"/>
      </w:tblGrid>
      <w:tr>
        <w:tc>
          <w:tcPr>
            <w:tcW w:type="dxa" w:w="680"/>
            <w:shd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F3A5F"/>
          </w:tcPr>
          <w:p>
            <w:r/>
            <w:r>
              <w:rPr>
                <w:b/>
                <w:color w:val="FFFFFF"/>
                <w:sz w:val="18"/>
              </w:rPr>
              <w:t>Entregable exigido por el examen</w:t>
            </w:r>
          </w:p>
        </w:tc>
        <w:tc>
          <w:tcPr>
            <w:tcW w:type="dxa" w:w="3628"/>
            <w:shd w:fill="1F3A5F"/>
          </w:tcPr>
          <w:p>
            <w:r/>
            <w:r>
              <w:rPr>
                <w:b/>
                <w:color w:val="FFFFFF"/>
                <w:sz w:val="18"/>
              </w:rPr>
              <w:t>Dónde está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Modelo de Dominio y Contratos (DTOs / Schemas)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specs/domain/ + specs/contracts/dto/ (7 schemas)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Completo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Diagramas de Arquitectura MVC con visión a Hexagonal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specs/architecture/ + docs/arquitectura/ (3 figuras)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Completo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Especificación de Endpoints / Servicios (Contratos API)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specs/contracts/facturacion-api.yaml (9 rutas)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Completo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Matriz de Trazabilidad Normativa SUNAT ↔ UBL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docs/arquitectura/04-matriz… (59 cruces)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Completo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9"/>
        </w:rPr>
        <w:t>Además se incluyen: marco normativo, catálogos SUNAT, perfil UBL con XSD, casos de uso con escenarios Gherkin, benchmark de usuarios, migración del legado, decisión multiplataforma, tres ADR y dos validadores ejecutables.</w:t>
      </w:r>
    </w:p>
    <w:p>
      <w:pPr>
        <w:pStyle w:val="Heading1"/>
      </w:pPr>
      <w:r>
        <w:t>2. Contexto y requisitos</w:t>
      </w:r>
    </w:p>
    <w:p>
      <w:r>
        <w:rPr>
          <w:b w:val="0"/>
          <w:i w:val="0"/>
          <w:sz w:val="21"/>
        </w:rPr>
        <w:t>El caso se transcribió y se convirtió en 12 requisitos verificables (REQ-01 a REQ-12). Los cuatro ejes que condicionan la arquitectura son: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082"/>
        <w:gridCol w:w="3402"/>
      </w:tblGrid>
      <w:tr>
        <w:tc>
          <w:tcPr>
            <w:tcW w:type="dxa" w:w="1361"/>
            <w:shd w:fill="1F3A5F"/>
          </w:tcPr>
          <w:p>
            <w:r/>
            <w:r>
              <w:rPr>
                <w:b/>
                <w:color w:val="FFFFFF"/>
                <w:sz w:val="18"/>
              </w:rPr>
              <w:t>Eje</w:t>
            </w:r>
          </w:p>
        </w:tc>
        <w:tc>
          <w:tcPr>
            <w:tcW w:type="dxa" w:w="4082"/>
            <w:shd w:fill="1F3A5F"/>
          </w:tcPr>
          <w:p>
            <w:r/>
            <w:r>
              <w:rPr>
                <w:b/>
                <w:color w:val="FFFFFF"/>
                <w:sz w:val="18"/>
              </w:rPr>
              <w:t>Requisito del enunciado</w:t>
            </w:r>
          </w:p>
        </w:tc>
        <w:tc>
          <w:tcPr>
            <w:tcW w:type="dxa" w:w="3402"/>
            <w:shd w:fill="1F3A5F"/>
          </w:tcPr>
          <w:p>
            <w:r/>
            <w:r>
              <w:rPr>
                <w:b/>
                <w:color w:val="FFFFFF"/>
                <w:sz w:val="18"/>
              </w:rPr>
              <w:t>Cómo se atiende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Legado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Las fichas históricas deben mapearse sin perder trazabilidad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Mapeo campo a campo + estado OBSERVADA con motivo (doc 05)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Normativa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Catálogos, afectación IGV, monedas, series, correlativos y catálogo 8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9 catálogos + 24 reglas + matriz de 59 cruces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Arquitectura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Monolito MVC con migración a Hexagonal; debe verse en los specs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11 requisitos ASR + 2 diagramas + 3 ADR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Plataforma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Windows y Android, instalador MSI o APK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ADR-0003: cliente Flutter + servicio Python · doc 06</w:t>
            </w:r>
          </w:p>
        </w:tc>
      </w:tr>
    </w:tbl>
    <w:p>
      <w:pPr>
        <w:spacing w:after="40"/>
      </w:pPr>
    </w:p>
    <w:p>
      <w:pPr>
        <w:pStyle w:val="Heading1"/>
      </w:pPr>
      <w:r>
        <w:t>3. Arquitectura: MVC hoy, hexagonal como objetivo</w:t>
      </w:r>
    </w:p>
    <w:p>
      <w:r>
        <w:rPr>
          <w:b w:val="0"/>
          <w:i w:val="0"/>
          <w:sz w:val="21"/>
        </w:rPr>
        <w:t>El sistema se organiza como monolito MVC, con el dominio aislado tras interfaces (puertos). Esa es la pieza que permite migrar a hexagonal sin reescribir reglas: se cambian adaptadores, no el negocio.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vc-cap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1. Capas del monolito MVC (situación actual).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xag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2. Visión objetivo: puertos y adaptadores alrededor del dominio.</w:t>
      </w:r>
    </w:p>
    <w:p>
      <w:pPr>
        <w:pStyle w:val="Heading2"/>
      </w:pPr>
      <w:r>
        <w:t>3.1 Requisitos de arquitectura (resumen)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762"/>
        <w:gridCol w:w="3061"/>
      </w:tblGrid>
      <w:tr>
        <w:tc>
          <w:tcPr>
            <w:tcW w:type="dxa" w:w="1020"/>
            <w:shd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762"/>
            <w:shd w:fill="1F3A5F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061"/>
            <w:shd w:fill="1F3A5F"/>
          </w:tcPr>
          <w:p>
            <w:r/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ASR-02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Las dependencias apuntan al dominio; nunca al revés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Revisión de imports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ASR-03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El dominio no importa framework, driver ni cliente HTTP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grep sobre src/dominio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ASR-04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Toda salida se declara como puerto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src/puertos.py (5 puertos)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ASR-05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Migrar a hexagonal sin reescribir reglas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Tabla de equivalencia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ASR-07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Windows y Android, MSI o APK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ADR-0003 + doc 06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9"/>
        </w:rPr>
        <w:t>Los 11 requisitos ASR y los 10 requisitos no funcionales (RNF) con métricas están en specs/architecture/mvc-hexagonal.md.</w:t>
      </w:r>
    </w:p>
    <w:p>
      <w:pPr>
        <w:pStyle w:val="Heading1"/>
      </w:pPr>
      <w:r>
        <w:t>4. Modelo de dominio y contratos</w:t>
      </w:r>
    </w:p>
    <w:p>
      <w:r>
        <w:rPr>
          <w:b w:val="0"/>
          <w:i w:val="0"/>
          <w:sz w:val="21"/>
        </w:rPr>
        <w:t>El agregado principal es Comprobante: controla sus líneas, sus totales, sus cuotas y su CDR. Los tipos Totales, Cdr y Cuota son objetos de valor inmutables. Las notas de crédito y débito son el mismo agregado con tipo 07/08, no una jerarquía aparte.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iagrama-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3. Diagrama de clases del dominio.</w:t>
      </w:r>
    </w:p>
    <w:p>
      <w:pPr>
        <w:pStyle w:val="Heading2"/>
      </w:pPr>
      <w:r>
        <w:t>4.1 Contratos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94"/>
        <w:gridCol w:w="4082"/>
      </w:tblGrid>
      <w:tr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8"/>
              </w:rPr>
              <w:t>DTO</w:t>
            </w:r>
          </w:p>
        </w:tc>
        <w:tc>
          <w:tcPr>
            <w:tcW w:type="dxa" w:w="2494"/>
            <w:shd w:fill="1F3A5F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4082"/>
            <w:shd w:fill="1F3A5F"/>
          </w:tcPr>
          <w:p>
            <w:r/>
            <w:r>
              <w:rPr>
                <w:b/>
                <w:color w:val="FFFFFF"/>
                <w:sz w:val="18"/>
              </w:rPr>
              <w:t>Regla clave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ComprobanteCreate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Petición de emisión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No acepta totales: se calculan en el dominio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ComprobanteResponse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Respuesta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Incluye estado, hash, URL del XML y CDR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NotaCreate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Nota de crédito/débito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Motivo del catálogo 09/10 y referencia obligatoria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Cliente / Producto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Maestros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Validación de catálogo 8 y afectación IGV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MigracionRequest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Lote de fichas legadas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Cada ficha termina MIGRADA u OBSERVADA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ErrorValidacion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Todos los errores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Código + campo + mensaje legible</w:t>
            </w:r>
          </w:p>
        </w:tc>
      </w:tr>
    </w:tbl>
    <w:p>
      <w:pPr>
        <w:spacing w:after="40"/>
      </w:pPr>
    </w:p>
    <w:p>
      <w:pPr>
        <w:pStyle w:val="Heading1"/>
      </w:pPr>
      <w:r>
        <w:t>5. Contrato de servicios</w:t>
      </w:r>
    </w:p>
    <w:p>
      <w:r>
        <w:rPr>
          <w:b w:val="0"/>
          <w:i w:val="0"/>
          <w:sz w:val="21"/>
        </w:rPr>
        <w:t>Nueve rutas, autenticación por token del emisor (el RUC no viaja en el cuerpo) y un formato único de error. Se publica como OpenAPI 3.0.3.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309"/>
        <w:gridCol w:w="3175"/>
      </w:tblGrid>
      <w:tr>
        <w:tc>
          <w:tcPr>
            <w:tcW w:type="dxa" w:w="1361"/>
            <w:shd w:fill="1F3A5F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4309"/>
            <w:shd w:fill="1F3A5F"/>
          </w:tcPr>
          <w:p>
            <w:r/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175"/>
            <w:shd w:fill="1F3A5F"/>
          </w:tcPr>
          <w:p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/api/v1/comprobantes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Emitir factura o boleta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/api/v1/comprobantes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Listar con filtros y paginación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/api/v1/comprobantes/{id}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Consultar comprobante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/api/v1/comprobantes/{serie_numero}/xml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Descargar XML firmado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/api/v1/comprobantes/{id}/notas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Emitir nota de crédito o débito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/api/v1/comprobantes/{id}/baja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Dar de baja un comprobante aceptado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/api/v1/migracion/fichas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Migrar fichas del legado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GET / POST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/api/v1/clientes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Maestro de clientes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/api/v1/productos · /catalogos/{codigo}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Maestros y catálogos SUNAT</w:t>
            </w:r>
          </w:p>
        </w:tc>
      </w:tr>
    </w:tbl>
    <w:p>
      <w:pPr>
        <w:spacing w:after="40"/>
      </w:pPr>
    </w:p>
    <w:p>
      <w:pPr>
        <w:pStyle w:val="Heading2"/>
      </w:pPr>
      <w:r>
        <w:t>5.1 Catálogo de errores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835"/>
        <w:gridCol w:w="4989"/>
      </w:tblGrid>
      <w:tr>
        <w:tc>
          <w:tcPr>
            <w:tcW w:type="dxa" w:w="1020"/>
            <w:shd w:fill="1F3A5F"/>
          </w:tcPr>
          <w:p>
            <w:r/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4989"/>
            <w:shd w:fill="1F3A5F"/>
          </w:tcPr>
          <w:p>
            <w:r/>
            <w:r>
              <w:rPr>
                <w:b/>
                <w:color w:val="FFFFFF"/>
                <w:sz w:val="18"/>
              </w:rPr>
              <w:t>Causa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400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VALIDACION_ESQUEMA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El JSON no cumple el DTO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400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VALIDACION_NEGOCIO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Incumple una regla RN-01..RN-17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409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CONFLICTO_CORRELATIVO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Número duplicado por concurrencia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XML_INVALIDO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El XML no valida contra el perfil (no se registró nada)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502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ERROR_ENVIO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La OSE no respondió; queda PENDIENTE_ENVIO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9"/>
        </w:rPr>
        <w:t>Nomenclatura SUNAT: el identificador del comprobante es serie_numero (serie + correlativo, F001-00000123) y se envía como cbc:ID. El cliente no lo envía: lo asigna el sistema.</w:t>
      </w:r>
    </w:p>
    <w:p>
      <w:pPr>
        <w:pStyle w:val="Heading1"/>
      </w:pPr>
      <w:r>
        <w:t>6. Perfil UBL y validación formal</w:t>
      </w:r>
    </w:p>
    <w:p>
      <w:r>
        <w:rPr>
          <w:b w:val="0"/>
          <w:i w:val="0"/>
          <w:sz w:val="21"/>
        </w:rPr>
        <w:t>Se estudió el esquema UBL-Invoice-2.1.xsd (OASIS) y se derivó un perfil propio: se conservan namespaces y secuencia del estándar, se recortan elementos no operados y se vuelven obligatorios los campos que SUNAT exige. El perfil está materializado como XSD y el XML de ejemplo se valida contra él.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309"/>
        <w:gridCol w:w="2154"/>
      </w:tblGrid>
      <w:tr>
        <w:tc>
          <w:tcPr>
            <w:tcW w:type="dxa" w:w="2381"/>
            <w:shd w:fill="1F3A5F"/>
          </w:tcPr>
          <w:p>
            <w:r/>
            <w:r>
              <w:rPr>
                <w:b/>
                <w:color w:val="FFFFFF"/>
                <w:sz w:val="18"/>
              </w:rPr>
              <w:t>Dato SUNAT</w:t>
            </w:r>
          </w:p>
        </w:tc>
        <w:tc>
          <w:tcPr>
            <w:tcW w:type="dxa" w:w="4309"/>
            <w:shd w:fill="1F3A5F"/>
          </w:tcPr>
          <w:p>
            <w:r/>
            <w:r>
              <w:rPr>
                <w:b/>
                <w:color w:val="FFFFFF"/>
                <w:sz w:val="18"/>
              </w:rPr>
              <w:t>Elemento UBL</w:t>
            </w:r>
          </w:p>
        </w:tc>
        <w:tc>
          <w:tcPr>
            <w:tcW w:type="dxa" w:w="2154"/>
            <w:shd w:fill="1F3A5F"/>
          </w:tcPr>
          <w:p>
            <w:r/>
            <w:r>
              <w:rPr>
                <w:b/>
                <w:color w:val="FFFFFF"/>
                <w:sz w:val="18"/>
              </w:rPr>
              <w:t>Campo del dominio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RUC del emisor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cac:AccountingSupplierParty/…/cbc:ID (@schemeID=6)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Empresa.ruc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Documento del receptor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cac:AccountingCustomerParty/…/cbc:ID (@schemeID)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cliente.tipo_documento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Tipo y número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cbc:InvoiceTypeCode · cbc:ID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Comprobante.tipo y serie_numero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Afectación y IGV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cac:TaxCategory/cbc:TaxExemptionReasonCode · cbc:Percent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LineaDetalle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Importe total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cac:LegalMonetaryTotal/cbc:PayableAmount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Totales.importeTotal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9"/>
        </w:rPr>
        <w:t>Los 59 cruces completos (incluido el catálogo 8, punto clave del examen) están en la matriz de trazabilidad normativa.</w:t>
      </w:r>
    </w:p>
    <w:p>
      <w:pPr>
        <w:pStyle w:val="Heading2"/>
      </w:pPr>
      <w:r>
        <w:t>6.1 Tabla de match campo SUNAT ↔ UBL ↔ DTO</w:t>
      </w:r>
    </w:p>
    <w:p>
      <w:r>
        <w:rPr>
          <w:b w:val="0"/>
          <w:i w:val="0"/>
          <w:sz w:val="19"/>
        </w:rPr>
        <w:t>Además de la matriz, se incluye una tabla de equivalencias por nombre de campo, con la nomenclatura que usa SUNAT. Muestra de la tabla completa (47 campos):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628"/>
        <w:gridCol w:w="2268"/>
        <w:gridCol w:w="1361"/>
      </w:tblGrid>
      <w:tr>
        <w:tc>
          <w:tcPr>
            <w:tcW w:type="dxa" w:w="2608"/>
            <w:shd w:fill="1F3A5F"/>
          </w:tcPr>
          <w:p>
            <w:r/>
            <w:r>
              <w:rPr>
                <w:b/>
                <w:color w:val="FFFFFF"/>
                <w:sz w:val="18"/>
              </w:rPr>
              <w:t>Campo SUNAT</w:t>
            </w:r>
          </w:p>
        </w:tc>
        <w:tc>
          <w:tcPr>
            <w:tcW w:type="dxa" w:w="3628"/>
            <w:shd w:fill="1F3A5F"/>
          </w:tcPr>
          <w:p>
            <w:r/>
            <w:r>
              <w:rPr>
                <w:b/>
                <w:color w:val="FFFFFF"/>
                <w:sz w:val="18"/>
              </w:rPr>
              <w:t>Elemento UBL</w:t>
            </w:r>
          </w:p>
        </w:tc>
        <w:tc>
          <w:tcPr>
            <w:tcW w:type="dxa" w:w="2268"/>
            <w:shd w:fill="1F3A5F"/>
          </w:tcPr>
          <w:p>
            <w:r/>
            <w:r>
              <w:rPr>
                <w:b/>
                <w:color w:val="FFFFFF"/>
                <w:sz w:val="18"/>
              </w:rPr>
              <w:t>Campo DTO / dominio</w:t>
            </w:r>
          </w:p>
        </w:tc>
        <w:tc>
          <w:tcPr>
            <w:tcW w:type="dxa" w:w="1361"/>
            <w:shd w:fill="1F3A5F"/>
          </w:tcPr>
          <w:p>
            <w:r/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serie_numero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cbc:ID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serie_numero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RN-11, RN-12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tipo_comprobante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cbc:InvoiceTypeCode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Comprobante.tipo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RN-10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tipo_documento_receptor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…/cbc:ID (@schemeID) — cat. 8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cliente.tipo_documento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RN-02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afectacion_igv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…/cbc:TaxExemptionReasonCode — cat. 7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detalle[].afectacion_igv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RN-05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monto_icbper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…/cbc:TaxAmount (TaxScheme 7152)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detalle[].icbper_linea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RN-07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importe_total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cac:LegalMonetaryTotal/cbc:PayableAmount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Totales.importe_total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RN-09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Tabla completa: docs/arquitectura/08-tabla-match-sunat-ubl.md (47 campos, 10 condicionales, 14 reglas distintas referenciadas).</w:t>
      </w:r>
    </w:p>
    <w:p>
      <w:pPr>
        <w:pStyle w:val="Heading1"/>
      </w:pPr>
      <w:r>
        <w:t>7. Evidencia de ejecución</w:t>
      </w:r>
    </w:p>
    <w:p>
      <w:r>
        <w:rPr>
          <w:b w:val="0"/>
          <w:i w:val="0"/>
          <w:sz w:val="21"/>
        </w:rPr>
        <w:t>Los contratos no son documentos muertos: dos validadores los ejecutan.</w:t>
      </w:r>
    </w:p>
    <w:p>
      <w:r>
        <w:rPr>
          <w:b/>
          <w:i w:val="0"/>
          <w:sz w:val="19"/>
        </w:rPr>
        <w:t>a) Contratos, DTOs y OpenAPI: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validar_contratos.py → 15 comprobaciones correctas, 0 fallos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7 esquemas JSON válidos (petición y respuesta)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el ejemplo válido cumple su esquema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el ejemplo inválido se rechaza con 6 errores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el ejemplo de respuesta cumple su esquema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OpenAPI: 18 referencias resueltas (15 esquemas, 1 parámetros)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OpenAPI: todas las operaciones declaran respuestas</w:t>
      </w:r>
    </w:p>
    <w:p>
      <w:r>
        <w:rPr>
          <w:b/>
          <w:i w:val="0"/>
          <w:sz w:val="19"/>
        </w:rPr>
        <w:t>b) XML del perfil contra su XSD: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validar_xml_ubl.py → 11 comprobaciones correctas, 0 fallos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ejemplo-invoice.xml valida contra Invoice-2-profile.xsd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un XML sin cbc:ID es rechazado por el XSD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LineCountNumeric = 3 coincide con las 3 líneas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IGV de cabecera = suma de líneas = 70.17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suma de líneas = 449.83 coincide con el total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TaxInclusiveAmount = 530.00 incluye IGV e ICBPER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PayableAmount = 530.00 coincide con el total con impuestos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RUC del emisor y del receptor pasan el módulo 11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OK  un IGV de cabecera adulterado rompe la reconciliación</w:t>
      </w:r>
    </w:p>
    <w:p>
      <w:r>
        <w:rPr>
          <w:b w:val="0"/>
          <w:i/>
          <w:sz w:val="19"/>
        </w:rPr>
        <w:t>El último hallazgo justifica la doble validación: el esquema no reemplaza a las reglas de negocio.</w:t>
      </w:r>
    </w:p>
    <w:p>
      <w:pPr>
        <w:pStyle w:val="Heading1"/>
      </w:pPr>
      <w:r>
        <w:t>8. Alcance, supuestos y pendientes</w:t>
      </w:r>
    </w:p>
    <w:p>
      <w:pPr>
        <w:pStyle w:val="Heading2"/>
      </w:pPr>
      <w:r>
        <w:t>8.1 Incluido en esta fase</w:t>
      </w:r>
    </w:p>
    <w:p>
      <w:pPr>
        <w:pStyle w:val="ListBullet"/>
        <w:spacing w:after="40"/>
      </w:pPr>
      <w:r>
        <w:t>Contratos, DTOs y esquemas (7 JSON Schemas + OpenAPI).</w:t>
      </w:r>
    </w:p>
    <w:p>
      <w:pPr>
        <w:pStyle w:val="ListBullet"/>
        <w:spacing w:after="40"/>
      </w:pPr>
      <w:r>
        <w:t>24 reglas de negocio y 9 catálogos SUNAT.</w:t>
      </w:r>
    </w:p>
    <w:p>
      <w:pPr>
        <w:pStyle w:val="ListBullet"/>
        <w:spacing w:after="40"/>
      </w:pPr>
      <w:r>
        <w:t>Requisitos de arquitectura (11 ASR) y no funcionales (10 RNF).</w:t>
      </w:r>
    </w:p>
    <w:p>
      <w:pPr>
        <w:pStyle w:val="ListBullet"/>
        <w:spacing w:after="40"/>
      </w:pPr>
      <w:r>
        <w:t>Matriz de trazabilidad normativa de 59 cruces.</w:t>
      </w:r>
    </w:p>
    <w:p>
      <w:pPr>
        <w:pStyle w:val="ListBullet"/>
        <w:spacing w:after="40"/>
      </w:pPr>
      <w:r>
        <w:t>Perfil UBL materializado en XSD y validado.</w:t>
      </w:r>
    </w:p>
    <w:p>
      <w:pPr>
        <w:pStyle w:val="ListBullet"/>
        <w:spacing w:after="40"/>
      </w:pPr>
      <w:r>
        <w:t>Migración del legado, distribución MSI/APK y 3 ADR.</w:t>
      </w:r>
    </w:p>
    <w:p>
      <w:pPr>
        <w:pStyle w:val="Heading2"/>
      </w:pPr>
      <w:r>
        <w:t>8.2 Fuera de alcance (declarado)</w:t>
      </w:r>
    </w:p>
    <w:p>
      <w:pPr>
        <w:pStyle w:val="ListBullet"/>
        <w:spacing w:after="40"/>
      </w:pPr>
      <w:r>
        <w:t>Diseño de interfaz de usuario: pantallas, wireframes y prototipos (el alcance son specs).</w:t>
      </w:r>
    </w:p>
    <w:p>
      <w:pPr>
        <w:pStyle w:val="ListBullet"/>
        <w:spacing w:after="40"/>
      </w:pPr>
      <w:r>
        <w:t>Implementación de la lógica de negocio (fase 2).</w:t>
      </w:r>
    </w:p>
    <w:p>
      <w:pPr>
        <w:pStyle w:val="ListBullet"/>
        <w:spacing w:after="40"/>
      </w:pPr>
      <w:r>
        <w:t>Firma digital real con certificado y envío efectivo a SUNAT/OSE.</w:t>
      </w:r>
    </w:p>
    <w:p>
      <w:pPr>
        <w:pStyle w:val="ListBullet"/>
        <w:spacing w:after="40"/>
      </w:pPr>
      <w:r>
        <w:t>Resumen diario de boletas y comunicación masiva de bajas.</w:t>
      </w:r>
    </w:p>
    <w:p>
      <w:pPr>
        <w:pStyle w:val="ListBullet"/>
        <w:spacing w:after="40"/>
      </w:pPr>
      <w:r>
        <w:t>Comprobantes de retención, percepción, detracción y guías de remisión.</w:t>
      </w:r>
    </w:p>
    <w:p>
      <w:pPr>
        <w:pStyle w:val="Heading2"/>
      </w:pPr>
      <w:r>
        <w:t>8.3 Supuestos asumidos</w:t>
      </w:r>
    </w:p>
    <w:p>
      <w:pPr>
        <w:pStyle w:val="ListBullet"/>
        <w:spacing w:after="40"/>
      </w:pPr>
      <w:r>
        <w:t>Un emisor por despliegue; moneda PEN como principal.</w:t>
      </w:r>
    </w:p>
    <w:p>
      <w:pPr>
        <w:pStyle w:val="ListBullet"/>
        <w:spacing w:after="40"/>
      </w:pPr>
      <w:r>
        <w:t>ISC calculado sobre el valor de venta (sistema al valor).</w:t>
      </w:r>
    </w:p>
    <w:p>
      <w:pPr>
        <w:pStyle w:val="ListBullet"/>
        <w:spacing w:after="40"/>
      </w:pPr>
      <w:r>
        <w:t>El certificado digital reside en el servidor, nunca en el cliente.</w:t>
      </w:r>
    </w:p>
    <w:p>
      <w:pPr>
        <w:pStyle w:val="ListBullet"/>
        <w:spacing w:after="40"/>
      </w:pPr>
      <w:r>
        <w:t>Los catálogos se cargan como datos versionados, no como constantes de código.</w:t>
      </w:r>
    </w:p>
    <w:p>
      <w:pPr>
        <w:pStyle w:val="Heading1"/>
      </w:pPr>
      <w:r>
        <w:t>9. Anexo: inventario de archivos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5896"/>
      </w:tblGrid>
      <w:tr>
        <w:tc>
          <w:tcPr>
            <w:tcW w:type="dxa" w:w="3061"/>
            <w:shd w:fill="1F3A5F"/>
          </w:tcPr>
          <w:p>
            <w:r/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5896"/>
            <w:shd w:fill="1F3A5F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00-caso.md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Caso transcrito y requisitos REQ-01..REQ-12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01-RESUMEN-EJECUTIVO.md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Portada y mapa de entregables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VERIFICACION.md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Informe de verificación: enunciado → evidencia y pruebas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specs/domain/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Modelo de dominio, 24 reglas, marco normativo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specs/architecture/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11 requisitos ASR y 10 RNF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specs/contracts/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OpenAPI, DTOs, catálogos y perfil UBL con XSD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specs/features/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10 casos de uso, 10 escenarios Gherkin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specs/adr/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3 decisiones de arquitectura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docs/arquitectura/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Figuras, matriz de trazabilidad, migración y distribución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docs/arquitectura/08-tabla-match-sunat-ubl.md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Tabla de match campo SUNAT ↔ UBL ↔ DTO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docs/benchmark-facturacion.md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Dolores de usuarios y su traducción al diseño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src/puertos.py · tests/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Interfaces y mapa de pruebas (fase 2)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</w:rPr>
              <w:t>validacion/</w:t>
            </w:r>
          </w:p>
        </w:tc>
        <w:tc>
          <w:tcPr>
            <w:tcW w:type="dxa" w:w="5896"/>
          </w:tcPr>
          <w:p>
            <w:r/>
            <w:r>
              <w:rPr>
                <w:sz w:val="17"/>
              </w:rPr>
              <w:t>Dos validadores ejecutables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6"/>
      </w:rPr>
      <w:t>ABC Software Corp · Especificaciones técnicas v1.0 · Arquitectura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