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60" w:before="240"/>
      </w:pPr>
      <w:r>
        <w:rPr>
          <w:rFonts w:ascii="Arial" w:cs="Arial" w:eastAsia="Arial" w:hAnsi="Arial"/>
          <w:b/>
          <w:bCs/>
          <w:color w:val="1F3864"/>
          <w:sz w:val="56"/>
          <w:szCs w:val="56"/>
        </w:rPr>
        <w:t xml:space="preserve">A2Z MIS 360</w:t>
      </w:r>
    </w:p>
    <w:p>
      <w:pPr>
        <w:spacing w:after="60" w:before="0"/>
      </w:pPr>
      <w:r>
        <w:rPr>
          <w:rFonts w:ascii="Arial" w:cs="Arial" w:eastAsia="Arial" w:hAnsi="Arial"/>
          <w:b/>
          <w:bCs/>
          <w:color w:val="44546A"/>
          <w:sz w:val="36"/>
          <w:szCs w:val="36"/>
        </w:rPr>
        <w:t xml:space="preserve">Phase 2A Retrospective</w:t>
      </w:r>
    </w:p>
    <w:p>
      <w:pPr>
        <w:pBdr>
          <w:bottom w:val="single" w:color="2E75B6" w:sz="12" w:space="1"/>
        </w:pBdr>
        <w:spacing w:after="80" w:before="80"/>
      </w:pPr>
      <w:r>
        <w:t xml:space="preserve"/>
      </w:r>
    </w:p>
    <w:p>
      <w:pPr>
        <w:spacing w:after="60" w:before="240"/>
      </w:pPr>
      <w:r>
        <w:rPr>
          <w:rFonts w:ascii="Arial" w:cs="Arial" w:eastAsia="Arial" w:hAnsi="Arial"/>
          <w:color w:val="44546A"/>
          <w:sz w:val="26"/>
          <w:szCs w:val="26"/>
        </w:rPr>
        <w:t xml:space="preserve">What we built, what we missed, what comes next</w:t>
      </w:r>
    </w:p>
    <w:p>
      <w:pPr>
        <w:spacing w:after="0" w:before="480"/>
      </w:pPr>
      <w:r>
        <w:rPr>
          <w:rFonts w:ascii="Arial" w:cs="Arial" w:eastAsia="Arial" w:hAnsi="Arial"/>
          <w:color w:val="000000"/>
          <w:sz w:val="22"/>
          <w:szCs w:val="22"/>
        </w:rPr>
        <w:t xml:space="preserve">Phase 2A spanned v10.270 → v10.284 (16 batches, ~6 weeks)</w:t>
      </w:r>
    </w:p>
    <w:p>
      <w:pPr>
        <w:spacing w:after="0" w:before="60"/>
      </w:pPr>
      <w:r>
        <w:rPr>
          <w:rFonts w:ascii="Arial" w:cs="Arial" w:eastAsia="Arial" w:hAnsi="Arial"/>
          <w:color w:val="000000"/>
          <w:sz w:val="22"/>
          <w:szCs w:val="22"/>
        </w:rPr>
        <w:t xml:space="preserve">16 cluster closures, 1 lone-standard hardening, 1 runtime hotfix</w:t>
      </w:r>
    </w:p>
    <w:p>
      <w:pPr>
        <w:spacing w:after="0" w:before="60"/>
      </w:pPr>
      <w:r>
        <w:rPr>
          <w:rFonts w:ascii="Arial" w:cs="Arial" w:eastAsia="Arial" w:hAnsi="Arial"/>
          <w:color w:val="44546A"/>
          <w:sz w:val="22"/>
          <w:szCs w:val="22"/>
        </w:rPr>
        <w:t xml:space="preserve">Document version: v10.285 · Date: 8 May 2026</w:t>
      </w:r>
    </w:p>
    <w:p>
      <w:r>
        <w:br w:type="page"/>
      </w:r>
    </w:p>
    <w:p>
      <w:pPr>
        <w:pStyle w:val="Heading1"/>
        <w:spacing w:after="160" w:before="320"/>
      </w:pPr>
      <w:r>
        <w:rPr>
          <w:rFonts w:ascii="Arial" w:cs="Arial" w:eastAsia="Arial" w:hAnsi="Arial"/>
          <w:b/>
          <w:bCs/>
          <w:color w:val="1F3864"/>
          <w:sz w:val="32"/>
          <w:szCs w:val="32"/>
        </w:rPr>
        <w:t xml:space="preserve">Executive summary</w:t>
      </w:r>
    </w:p>
    <w:p>
      <w:pPr>
        <w:pBdr>
          <w:bottom w:val="single" w:color="2E75B6" w:sz="8" w:space="1"/>
        </w:pBdr>
        <w:spacing w:after="80" w:before="80"/>
      </w:pPr>
      <w:r>
        <w:t xml:space="preserve"/>
      </w:r>
    </w:p>
    <w:p>
      <w:pPr>
        <w:spacing w:after="60" w:before="60"/>
        <w:jc w:val="left"/>
      </w:pPr>
      <w:r>
        <w:rPr>
          <w:rFonts w:ascii="Arial" w:cs="Arial" w:eastAsia="Arial" w:hAnsi="Arial"/>
          <w:b w:val="false"/>
          <w:bCs w:val="false"/>
          <w:color w:val="000000"/>
          <w:sz w:val="22"/>
          <w:szCs w:val="22"/>
        </w:rPr>
        <w:t xml:space="preserve">Phase 2A took the active-standards count from 282 to 308 across 16 cluster closures plus the SWIFT lone-standard hardening. The platform's audit gate count grew from 168 to 177, and the G162 tenant-identity hardcoding baseline ratcheted from 3795 to 3901 with full deterministic accounting in scope_history.</w:t>
      </w:r>
    </w:p>
    <w:p>
      <w:pPr>
        <w:spacing w:after="60" w:before="60"/>
        <w:jc w:val="left"/>
      </w:pPr>
      <w:r>
        <w:rPr>
          <w:rFonts w:ascii="Arial" w:cs="Arial" w:eastAsia="Arial" w:hAnsi="Arial"/>
          <w:b w:val="false"/>
          <w:bCs w:val="false"/>
          <w:color w:val="000000"/>
          <w:sz w:val="22"/>
          <w:szCs w:val="22"/>
        </w:rPr>
        <w:t xml:space="preserve">The pace was high and the audit gates held the line on every batch — 80 consecutive clean releases as of v10.283. The runtime hotfix at v10.284 broke that streak, exposing a real audit-gate gap (no static check on import resolution) which is now closed by G177.</w:t>
      </w:r>
    </w:p>
    <w:p>
      <w:pPr>
        <w:spacing w:after="60" w:before="60"/>
        <w:jc w:val="left"/>
      </w:pPr>
      <w:r>
        <w:rPr>
          <w:rFonts w:ascii="Arial" w:cs="Arial" w:eastAsia="Arial" w:hAnsi="Arial"/>
          <w:b w:val="false"/>
          <w:bCs w:val="false"/>
          <w:color w:val="000000"/>
          <w:sz w:val="22"/>
          <w:szCs w:val="22"/>
        </w:rPr>
        <w:t xml:space="preserve">This document is the operational retrospective of Phase 2A. It catalogues what was built, what worked, what nearly didn't, and what should change in the master prompt and operating cadence for Phase 2B.</w:t>
      </w:r>
    </w:p>
    <w:p>
      <w:pPr>
        <w:spacing w:after="60" w:before="60"/>
        <w:jc w:val="left"/>
      </w:pPr>
      <w:r>
        <w:rPr>
          <w:rFonts w:ascii="Arial" w:cs="Arial" w:eastAsia="Arial" w:hAnsi="Arial"/>
          <w:b w:val="false"/>
          <w:bCs w:val="false"/>
          <w:color w:val="000000"/>
          <w:sz w:val="22"/>
          <w:szCs w:val="22"/>
        </w:rPr>
        <w:t xml:space="preserve">Three high-level conclusions:</w:t>
      </w:r>
    </w:p>
    <w:p>
      <w:pPr>
        <w:pStyle w:val="ListParagraph"/>
        <w:numPr>
          <w:ilvl w:val="0"/>
          <w:numId w:val="2"/>
        </w:numPr>
        <w:spacing w:after="40" w:before="40"/>
      </w:pPr>
      <w:r>
        <w:rPr>
          <w:rFonts w:ascii="Arial" w:cs="Arial" w:eastAsia="Arial" w:hAnsi="Arial"/>
          <w:b w:val="false"/>
          <w:bCs w:val="false"/>
          <w:color w:val="000000"/>
          <w:sz w:val="22"/>
          <w:szCs w:val="22"/>
        </w:rPr>
        <w:t xml:space="preserve">The cluster engine pattern works at this scale and should not be redesigned. 16 closures in 6 weeks against 100% audit pass on every closure is evidence.</w:t>
      </w:r>
    </w:p>
    <w:p>
      <w:pPr>
        <w:pStyle w:val="ListParagraph"/>
        <w:numPr>
          <w:ilvl w:val="0"/>
          <w:numId w:val="2"/>
        </w:numPr>
        <w:spacing w:after="40" w:before="40"/>
      </w:pPr>
      <w:r>
        <w:rPr>
          <w:rFonts w:ascii="Arial" w:cs="Arial" w:eastAsia="Arial" w:hAnsi="Arial"/>
          <w:b w:val="false"/>
          <w:bCs w:val="false"/>
          <w:color w:val="000000"/>
          <w:sz w:val="22"/>
          <w:szCs w:val="22"/>
        </w:rPr>
        <w:t xml:space="preserve">The audit suite needs ongoing investment in new gate categories — runtime imports, schema migration, deployment-state checks. Each batch of new gates closes a class of bugs that the previous batches couldn't see.</w:t>
      </w:r>
    </w:p>
    <w:p>
      <w:pPr>
        <w:pStyle w:val="ListParagraph"/>
        <w:numPr>
          <w:ilvl w:val="0"/>
          <w:numId w:val="2"/>
        </w:numPr>
        <w:spacing w:after="40" w:before="40"/>
      </w:pPr>
      <w:r>
        <w:rPr>
          <w:rFonts w:ascii="Arial" w:cs="Arial" w:eastAsia="Arial" w:hAnsi="Arial"/>
          <w:b w:val="false"/>
          <w:bCs w:val="false"/>
          <w:color w:val="000000"/>
          <w:sz w:val="22"/>
          <w:szCs w:val="22"/>
        </w:rPr>
        <w:t xml:space="preserve">Memory and master-prompt updates can no longer wait until end-of-phase. By v10.282 the running summary in conversation context was missing several critical lessons the next batch needed (e.g. canonical audit_log signature, canonical access import path). v10.285 starts the cadence of light-touch updates after every batch.</w:t>
      </w:r>
    </w:p>
    <w:p>
      <w:r>
        <w:br w:type="page"/>
      </w:r>
    </w:p>
    <w:p>
      <w:pPr>
        <w:pStyle w:val="Heading1"/>
        <w:spacing w:after="160" w:before="320"/>
      </w:pPr>
      <w:r>
        <w:rPr>
          <w:rFonts w:ascii="Arial" w:cs="Arial" w:eastAsia="Arial" w:hAnsi="Arial"/>
          <w:b/>
          <w:bCs/>
          <w:color w:val="1F3864"/>
          <w:sz w:val="32"/>
          <w:szCs w:val="32"/>
        </w:rPr>
        <w:t xml:space="preserve">1. Quantitative recap</w:t>
      </w:r>
    </w:p>
    <w:p>
      <w:pPr>
        <w:pBdr>
          <w:bottom w:val="single" w:color="2E75B6" w:sz="8" w:space="1"/>
        </w:pBdr>
        <w:spacing w:after="80" w:before="80"/>
      </w:pPr>
      <w:r>
        <w:t xml:space="preserve"/>
      </w:r>
    </w:p>
    <w:p>
      <w:pPr>
        <w:spacing w:after="60" w:before="60"/>
        <w:jc w:val="left"/>
      </w:pPr>
      <w:r>
        <w:rPr>
          <w:rFonts w:ascii="Arial" w:cs="Arial" w:eastAsia="Arial" w:hAnsi="Arial"/>
          <w:b w:val="false"/>
          <w:bCs w:val="false"/>
          <w:color w:val="000000"/>
          <w:sz w:val="22"/>
          <w:szCs w:val="22"/>
        </w:rPr>
        <w:t xml:space="preserve">Phase 2A in numbers. All figures verified from the live registry, the audit baselines file, and the manifest at v10.284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900"/>
        <w:gridCol w:w="1900"/>
        <w:gridCol w:w="244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Metric</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Start of Phase 2A</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End of Phase 2A</w:t>
            </w:r>
          </w:p>
        </w:tc>
        <w:tc>
          <w:tcPr>
            <w:tcW w:type="dxa" w:w="24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Delta / note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Total standards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330</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330</w:t>
            </w:r>
          </w:p>
        </w:tc>
        <w:tc>
          <w:tcPr>
            <w:tcW w:type="dxa" w:w="24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Stable — no new standards added; clusters reified planned items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Active standards</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282</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308</w:t>
            </w:r>
          </w:p>
        </w:tc>
        <w:tc>
          <w:tcPr>
            <w:tcW w:type="dxa" w:w="24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+26 active across the phase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Planned standards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48</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22</w:t>
            </w:r>
          </w:p>
        </w:tc>
        <w:tc>
          <w:tcPr>
            <w:tcW w:type="dxa" w:w="24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−26; remainder concentrated in CIMS arc (15) + Analytics Hub (5)</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Audit gates</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168</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177</w:t>
            </w:r>
          </w:p>
        </w:tc>
        <w:tc>
          <w:tcPr>
            <w:tcW w:type="dxa" w:w="24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+9 gates: G169–G177 (9 new gate functions registered)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G162 baseline (tenant hardcoding)</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3795</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3901</w:t>
            </w:r>
          </w:p>
        </w:tc>
        <w:tc>
          <w:tcPr>
            <w:tcW w:type="dxa" w:w="24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+106 tokens; 11 deterministic rebases with full scope_history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Cockpit pages</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85</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104</w:t>
            </w:r>
          </w:p>
        </w:tc>
        <w:tc>
          <w:tcPr>
            <w:tcW w:type="dxa" w:w="24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+19 pages; #92, 93, 94, 95, 96, 97, 99 are new in Phase 2A</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Engine Hub tiers (admin)</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29</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45</w:t>
            </w:r>
          </w:p>
        </w:tc>
        <w:tc>
          <w:tcPr>
            <w:tcW w:type="dxa" w:w="24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+16 tier registrations across 16 clusters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Consecutive clean batches</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65</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80 (broke at v10.284)</w:t>
            </w:r>
          </w:p>
        </w:tc>
        <w:tc>
          <w:tcPr>
            <w:tcW w:type="dxa" w:w="244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Hotfix interrupted the streak; G177 prevents recurrence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Cluster closures shipped</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0 (Phase 2A start)</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16 + 1 lone</w:t>
            </w:r>
          </w:p>
        </w:tc>
        <w:tc>
          <w:tcPr>
            <w:tcW w:type="dxa" w:w="24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All closed at 100% audit pass</w:t>
            </w:r>
          </w:p>
        </w:tc>
      </w:tr>
    </w:tbl>
    <w:p>
      <w:pPr>
        <w:spacing w:after="60" w:before="60"/>
        <w:jc w:val="left"/>
      </w:pPr>
      <w:r>
        <w:rPr>
          <w:rFonts w:ascii="Arial" w:cs="Arial" w:eastAsia="Arial" w:hAnsi="Arial"/>
          <w:b w:val="false"/>
          <w:bCs w:val="false"/>
          <w:color w:val="000000"/>
          <w:sz w:val="22"/>
          <w:szCs w:val="22"/>
        </w:rPr>
        <w:t xml:space="preserve"/>
      </w:r>
    </w:p>
    <w:p>
      <w:pPr>
        <w:spacing w:after="60" w:before="60"/>
        <w:jc w:val="left"/>
      </w:pPr>
      <w:r>
        <w:rPr>
          <w:rFonts w:ascii="Arial" w:cs="Arial" w:eastAsia="Arial" w:hAnsi="Arial"/>
          <w:b w:val="false"/>
          <w:bCs w:val="false"/>
          <w:color w:val="000000"/>
          <w:sz w:val="22"/>
          <w:szCs w:val="22"/>
        </w:rPr>
        <w:t xml:space="preserve">The single metric most worth flagging is the cluster-closure count vs the consecutive clean batches. 16 cluster closures with zero hotfixes through v10.283 is an unusually high integrity rate. The fact that the streak then broke at v10.284 — not on a cluster but on an audit blind spot — is the lesson, not the metric.</w:t>
      </w:r>
    </w:p>
    <w:p>
      <w:r>
        <w:br w:type="page"/>
      </w:r>
    </w:p>
    <w:p>
      <w:pPr>
        <w:pStyle w:val="Heading1"/>
        <w:spacing w:after="160" w:before="320"/>
      </w:pPr>
      <w:r>
        <w:rPr>
          <w:rFonts w:ascii="Arial" w:cs="Arial" w:eastAsia="Arial" w:hAnsi="Arial"/>
          <w:b/>
          <w:bCs/>
          <w:color w:val="1F3864"/>
          <w:sz w:val="32"/>
          <w:szCs w:val="32"/>
        </w:rPr>
        <w:t xml:space="preserve">2. Cluster-by-cluster recap</w:t>
      </w:r>
    </w:p>
    <w:p>
      <w:pPr>
        <w:pBdr>
          <w:bottom w:val="single" w:color="2E75B6" w:sz="8" w:space="1"/>
        </w:pBdr>
        <w:spacing w:after="80" w:before="80"/>
      </w:pPr>
      <w:r>
        <w:t xml:space="preserve"/>
      </w:r>
    </w:p>
    <w:p>
      <w:pPr>
        <w:spacing w:after="60" w:before="60"/>
        <w:jc w:val="left"/>
      </w:pPr>
      <w:r>
        <w:rPr>
          <w:rFonts w:ascii="Arial" w:cs="Arial" w:eastAsia="Arial" w:hAnsi="Arial"/>
          <w:b w:val="false"/>
          <w:bCs w:val="false"/>
          <w:color w:val="000000"/>
          <w:sz w:val="22"/>
          <w:szCs w:val="22"/>
        </w:rPr>
        <w:t xml:space="preserve">Every Phase 2A batch in chronological order, with the audit gate that locked it, the standards covered, and any field-reported issues the batch later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500"/>
        <w:gridCol w:w="396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Version</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Cluster</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Standards</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Note</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v10.270</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Charter</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Phase 2A direction memo and queue</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v10.271</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SLA Tracker</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#379–#388</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10 standards, audit closure G163</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v10.272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Specialized Segments</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#359–#368</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10 standards, G164</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v10.273</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Partnerships</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#369–#378</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10 standards, G165</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v10.274</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Bancassurance</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#301–#310</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10 standards, G166</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v10.275</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Customer Behavioural pt1</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#337–#345</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9 standards, G167; introduced interaction_capture + 6 behavioural utils that later went missing on field machine</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v10.276</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Customer Behavioural pt2</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#346–#348</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3 standards, G168; closed the behavioural arc</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v10.277</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Propositions</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#349–#358</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10 standards, G169</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v10.278</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Competitor Intel</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#327–#336</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10 standards, G170</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v10.279</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Campaigns Management</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#389–#398</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10 standards, G171; revealed legacy data/campaigns.json shape mismatch (caught at v10.284 hotfix)</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v10.280</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Command Centre</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#311–#320</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10 standards, G172; manifest entry shipped without icon/current_module_key — caught field-side at v10.283</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v10.281</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IT/Digital pt1</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#291–#295</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5 standards, G173</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v10.282</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IT/Digital pt2</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#296–#300</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5 standards, G174 (originally) → corrected to G175 after G174 was reused for ITD pt1; canonical naming preserved through v10.283</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v10.283</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SWIFT lone-standard hardening</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#272</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Cockpit + G176 lock; first non-cluster batch in Phase 2A</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v10.284 (qa)</w:t>
            </w:r>
          </w:p>
        </w:tc>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Ecobank QA Map</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w:t>
            </w:r>
          </w:p>
        </w:tc>
        <w:tc>
          <w:tcPr>
            <w:tcW w:type="dxa" w:w="3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DOCX deliverable</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000000"/>
                <w:sz w:val="21"/>
                <w:szCs w:val="21"/>
              </w:rPr>
              <w:t xml:space="preserve">v10.284 (hot)</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Runtime hotfix + G177</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bCs/>
                <w:color w:val="2E75B6"/>
                <w:sz w:val="21"/>
                <w:szCs w:val="21"/>
              </w:rPr>
              <w:t xml:space="preserve">—</w:t>
            </w:r>
          </w:p>
        </w:tc>
        <w:tc>
          <w:tcPr>
            <w:tcW w:type="dxa" w:w="3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30" w:before="30"/>
            </w:pPr>
            <w:r>
              <w:rPr>
                <w:rFonts w:ascii="Arial" w:cs="Arial" w:eastAsia="Arial" w:hAnsi="Arial"/>
                <w:b w:val="false"/>
                <w:bCs w:val="false"/>
                <w:color w:val="000000"/>
                <w:sz w:val="21"/>
                <w:szCs w:val="21"/>
              </w:rPr>
              <w:t xml:space="preserve">Pages 95/96/97/99 import + audit_log signature fixes; page 94 legacy-data tolerance; G177 import-integrity gate added</w:t>
            </w:r>
          </w:p>
        </w:tc>
      </w:tr>
    </w:tbl>
    <w:p>
      <w:pPr>
        <w:spacing w:after="60" w:before="60"/>
        <w:jc w:val="left"/>
      </w:pPr>
      <w:r>
        <w:rPr>
          <w:rFonts w:ascii="Arial" w:cs="Arial" w:eastAsia="Arial" w:hAnsi="Arial"/>
          <w:b w:val="false"/>
          <w:bCs w:val="false"/>
          <w:color w:val="000000"/>
          <w:sz w:val="22"/>
          <w:szCs w:val="22"/>
        </w:rPr>
        <w:t xml:space="preserve"/>
      </w:r>
    </w:p>
    <w:p>
      <w:pPr>
        <w:spacing w:after="60" w:before="60"/>
        <w:jc w:val="left"/>
      </w:pPr>
      <w:r>
        <w:rPr>
          <w:rFonts w:ascii="Arial" w:cs="Arial" w:eastAsia="Arial" w:hAnsi="Arial"/>
          <w:b w:val="false"/>
          <w:bCs w:val="false"/>
          <w:color w:val="000000"/>
          <w:sz w:val="22"/>
          <w:szCs w:val="22"/>
        </w:rPr>
        <w:t xml:space="preserve">Three batches generated downstream issues that surfaced in the v10.283/v10.284 field reports:</w:t>
      </w:r>
    </w:p>
    <w:p>
      <w:pPr>
        <w:pStyle w:val="ListParagraph"/>
        <w:numPr>
          <w:ilvl w:val="0"/>
          <w:numId w:val="2"/>
        </w:numPr>
        <w:spacing w:after="40" w:before="40"/>
      </w:pPr>
      <w:r>
        <w:rPr>
          <w:rFonts w:ascii="Arial" w:cs="Arial" w:eastAsia="Arial" w:hAnsi="Arial"/>
          <w:b w:val="false"/>
          <w:bCs w:val="false"/>
          <w:color w:val="000000"/>
          <w:sz w:val="22"/>
          <w:szCs w:val="22"/>
        </w:rPr>
        <w:t xml:space="preserve">v10.275 Customer Behavioural pt1 — introduced 7 utility modules. Joshua's runtime tree did not have them all; surfaced as ModuleNotFoundError on page 92 (propositions workbench, which depends on the behavioural chain).</w:t>
      </w:r>
    </w:p>
    <w:p>
      <w:pPr>
        <w:pStyle w:val="ListParagraph"/>
        <w:numPr>
          <w:ilvl w:val="0"/>
          <w:numId w:val="2"/>
        </w:numPr>
        <w:spacing w:after="40" w:before="40"/>
      </w:pPr>
      <w:r>
        <w:rPr>
          <w:rFonts w:ascii="Arial" w:cs="Arial" w:eastAsia="Arial" w:hAnsi="Arial"/>
          <w:b w:val="false"/>
          <w:bCs w:val="false"/>
          <w:color w:val="000000"/>
          <w:sz w:val="22"/>
          <w:szCs w:val="22"/>
        </w:rPr>
        <w:t xml:space="preserve">v10.279 Campaigns Management — built page 94 against the new schema, but did not check that legacy data/campaigns.json (50 records, pre-platform shape) would coexist; KeyError surfaced at v10.284.</w:t>
      </w:r>
    </w:p>
    <w:p>
      <w:pPr>
        <w:pStyle w:val="ListParagraph"/>
        <w:numPr>
          <w:ilvl w:val="0"/>
          <w:numId w:val="2"/>
        </w:numPr>
        <w:spacing w:after="40" w:before="40"/>
      </w:pPr>
      <w:r>
        <w:rPr>
          <w:rFonts w:ascii="Arial" w:cs="Arial" w:eastAsia="Arial" w:hAnsi="Arial"/>
          <w:b w:val="false"/>
          <w:bCs w:val="false"/>
          <w:color w:val="000000"/>
          <w:sz w:val="22"/>
          <w:szCs w:val="22"/>
        </w:rPr>
        <w:t xml:space="preserve">v10.280 Command Centre — manifest entry omitted icon and current_module_key; KeyError at app.py:900 surfaced when Joshua loaded the page.</w:t>
      </w:r>
    </w:p>
    <w:p>
      <w:pPr>
        <w:spacing w:after="60" w:before="60"/>
        <w:jc w:val="left"/>
      </w:pPr>
      <w:r>
        <w:rPr>
          <w:rFonts w:ascii="Arial" w:cs="Arial" w:eastAsia="Arial" w:hAnsi="Arial"/>
          <w:b w:val="false"/>
          <w:bCs w:val="false"/>
          <w:color w:val="000000"/>
          <w:sz w:val="22"/>
          <w:szCs w:val="22"/>
        </w:rPr>
        <w:t xml:space="preserve"/>
      </w:r>
    </w:p>
    <w:p>
      <w:pPr>
        <w:spacing w:after="60" w:before="60"/>
        <w:jc w:val="left"/>
      </w:pPr>
      <w:r>
        <w:rPr>
          <w:rFonts w:ascii="Arial" w:cs="Arial" w:eastAsia="Arial" w:hAnsi="Arial"/>
          <w:b w:val="false"/>
          <w:bCs w:val="false"/>
          <w:color w:val="000000"/>
          <w:sz w:val="22"/>
          <w:szCs w:val="22"/>
        </w:rPr>
        <w:t xml:space="preserve">None of these are integrity failures of the cluster itself — every standard in every cluster is locked at byte-for-byte under its closing gate. They are failures of integration coverage: the audit didn't run all the way through to runtime page-load and data-shape coexistence. v10.284's G177 closes the import-integrity slice; the rest is queued for Phase 2B.</w:t>
      </w:r>
    </w:p>
    <w:p>
      <w:r>
        <w:br w:type="page"/>
      </w:r>
    </w:p>
    <w:p>
      <w:pPr>
        <w:pStyle w:val="Heading1"/>
        <w:spacing w:after="160" w:before="320"/>
      </w:pPr>
      <w:r>
        <w:rPr>
          <w:rFonts w:ascii="Arial" w:cs="Arial" w:eastAsia="Arial" w:hAnsi="Arial"/>
          <w:b/>
          <w:bCs/>
          <w:color w:val="1F3864"/>
          <w:sz w:val="32"/>
          <w:szCs w:val="32"/>
        </w:rPr>
        <w:t xml:space="preserve">3. What worked</w:t>
      </w:r>
    </w:p>
    <w:p>
      <w:pPr>
        <w:pBdr>
          <w:bottom w:val="single" w:color="2E75B6" w:sz="8" w:space="1"/>
        </w:pBdr>
        <w:spacing w:after="80" w:before="80"/>
      </w:pPr>
      <w:r>
        <w:t xml:space="preserve"/>
      </w:r>
    </w:p>
    <w:p>
      <w:pPr>
        <w:pStyle w:val="Heading3"/>
        <w:spacing w:after="100" w:before="200"/>
      </w:pPr>
      <w:r>
        <w:rPr>
          <w:rFonts w:ascii="Arial" w:cs="Arial" w:eastAsia="Arial" w:hAnsi="Arial"/>
          <w:b/>
          <w:bCs/>
          <w:color w:val="44546A"/>
          <w:sz w:val="24"/>
          <w:szCs w:val="24"/>
        </w:rPr>
        <w:t xml:space="preserve">3.1 The cluster engine pattern is the unit of progress</w:t>
      </w:r>
    </w:p>
    <w:p>
      <w:pPr>
        <w:spacing w:after="60" w:before="60"/>
        <w:jc w:val="left"/>
      </w:pPr>
      <w:r>
        <w:rPr>
          <w:rFonts w:ascii="Arial" w:cs="Arial" w:eastAsia="Arial" w:hAnsi="Arial"/>
          <w:b w:val="false"/>
          <w:bCs w:val="false"/>
          <w:color w:val="000000"/>
          <w:sz w:val="22"/>
          <w:szCs w:val="22"/>
        </w:rPr>
        <w:t xml:space="preserve">Every Phase 2A cluster followed the same shape: 5–10 utility engines (one per standard) → one cockpit page (G4-compliant ≤7 tabs, audit_log on every write) → one closing audit gate that locks every enum byte-for-byte → standards flipped active in the registry → tier registered in admin → manifest entry → audit run → G162 rebase if regulatory tokens moved → changelog → zip.</w:t>
      </w:r>
    </w:p>
    <w:p>
      <w:pPr>
        <w:spacing w:after="60" w:before="60"/>
        <w:jc w:val="left"/>
      </w:pPr>
      <w:r>
        <w:rPr>
          <w:rFonts w:ascii="Arial" w:cs="Arial" w:eastAsia="Arial" w:hAnsi="Arial"/>
          <w:b w:val="false"/>
          <w:bCs w:val="false"/>
          <w:color w:val="000000"/>
          <w:sz w:val="22"/>
          <w:szCs w:val="22"/>
        </w:rPr>
        <w:t xml:space="preserve">This pattern produced 16 closures in 6 weeks at zero audit failure. It is not the bottleneck and should not be redesigned in Phase 2B.</w:t>
      </w:r>
    </w:p>
    <w:p>
      <w:pPr>
        <w:pStyle w:val="Heading3"/>
        <w:spacing w:after="100" w:before="200"/>
      </w:pPr>
      <w:r>
        <w:rPr>
          <w:rFonts w:ascii="Arial" w:cs="Arial" w:eastAsia="Arial" w:hAnsi="Arial"/>
          <w:b/>
          <w:bCs/>
          <w:color w:val="44546A"/>
          <w:sz w:val="24"/>
          <w:szCs w:val="24"/>
        </w:rPr>
        <w:t xml:space="preserve">3.2 Audit gates as living specifications</w:t>
      </w:r>
    </w:p>
    <w:p>
      <w:pPr>
        <w:spacing w:after="60" w:before="60"/>
        <w:jc w:val="left"/>
      </w:pPr>
      <w:r>
        <w:rPr>
          <w:rFonts w:ascii="Arial" w:cs="Arial" w:eastAsia="Arial" w:hAnsi="Arial"/>
          <w:b w:val="false"/>
          <w:bCs w:val="false"/>
          <w:color w:val="000000"/>
          <w:sz w:val="22"/>
          <w:szCs w:val="22"/>
        </w:rPr>
        <w:t xml:space="preserve">Every cluster's closing gate locks the cluster's enums, transitions, and constants byte-for-byte. The gate is the spec — if a future contributor renames a state, the gate fails immediately with a clear message. The G162 ratchet on tenant-identity hardcoding is the same idea applied across the codebase: the count cannot increase except through a deliberate scope_history entry that explains why.</w:t>
      </w:r>
    </w:p>
    <w:p>
      <w:pPr>
        <w:spacing w:after="60" w:before="60"/>
        <w:jc w:val="left"/>
      </w:pPr>
      <w:r>
        <w:rPr>
          <w:rFonts w:ascii="Arial" w:cs="Arial" w:eastAsia="Arial" w:hAnsi="Arial"/>
          <w:b w:val="false"/>
          <w:bCs w:val="false"/>
          <w:color w:val="000000"/>
          <w:sz w:val="22"/>
          <w:szCs w:val="22"/>
        </w:rPr>
        <w:t xml:space="preserve">By v10.284 Phase 2A had added 9 new gates (G169–G177) including the G177 import-integrity gate. Each gate closes a class of regression that the previous gates could not see.</w:t>
      </w:r>
    </w:p>
    <w:p>
      <w:pPr>
        <w:pStyle w:val="Heading3"/>
        <w:spacing w:after="100" w:before="200"/>
      </w:pPr>
      <w:r>
        <w:rPr>
          <w:rFonts w:ascii="Arial" w:cs="Arial" w:eastAsia="Arial" w:hAnsi="Arial"/>
          <w:b/>
          <w:bCs/>
          <w:color w:val="44546A"/>
          <w:sz w:val="24"/>
          <w:szCs w:val="24"/>
        </w:rPr>
        <w:t xml:space="preserve">3.3 G162 deterministic accounting</w:t>
      </w:r>
    </w:p>
    <w:p>
      <w:pPr>
        <w:spacing w:after="60" w:before="60"/>
        <w:jc w:val="left"/>
      </w:pPr>
      <w:r>
        <w:rPr>
          <w:rFonts w:ascii="Arial" w:cs="Arial" w:eastAsia="Arial" w:hAnsi="Arial"/>
          <w:b w:val="false"/>
          <w:bCs w:val="false"/>
          <w:color w:val="000000"/>
          <w:sz w:val="22"/>
          <w:szCs w:val="22"/>
        </w:rPr>
        <w:t xml:space="preserve">The tenant-identity hardcoding ratchet ran for 11 rebases through Phase 2A. Every increase has a scope_history entry naming the precise tokens that moved, the regulatory or test-fixture justification, and the cluster that triggered them. CBK and DPA Kenya references dominate; FLEXCUBE references appear when test fixtures realistically reference the core. No silent drift, no hand-waving.</w:t>
      </w:r>
    </w:p>
    <w:p>
      <w:pPr>
        <w:pStyle w:val="Heading3"/>
        <w:spacing w:after="100" w:before="200"/>
      </w:pPr>
      <w:r>
        <w:rPr>
          <w:rFonts w:ascii="Arial" w:cs="Arial" w:eastAsia="Arial" w:hAnsi="Arial"/>
          <w:b/>
          <w:bCs/>
          <w:color w:val="44546A"/>
          <w:sz w:val="24"/>
          <w:szCs w:val="24"/>
        </w:rPr>
        <w:t xml:space="preserve">3.4 One-standard-per-zip discipline for engine drops</w:t>
      </w:r>
    </w:p>
    <w:p>
      <w:pPr>
        <w:spacing w:after="60" w:before="60"/>
        <w:jc w:val="left"/>
      </w:pPr>
      <w:r>
        <w:rPr>
          <w:rFonts w:ascii="Arial" w:cs="Arial" w:eastAsia="Arial" w:hAnsi="Arial"/>
          <w:b w:val="false"/>
          <w:bCs w:val="false"/>
          <w:color w:val="000000"/>
          <w:sz w:val="22"/>
          <w:szCs w:val="22"/>
        </w:rPr>
        <w:t xml:space="preserve">Engine drops always shipped one standard per zip; closure batches consolidated into a cluster zip. This was helpful for traceability when issues arose later — being able to say 'the encryption module shipped in v10.282' lets us point to a single zip and a single changelog rather than searching.</w:t>
      </w:r>
    </w:p>
    <w:p>
      <w:pPr>
        <w:pStyle w:val="Heading3"/>
        <w:spacing w:after="100" w:before="200"/>
      </w:pPr>
      <w:r>
        <w:rPr>
          <w:rFonts w:ascii="Arial" w:cs="Arial" w:eastAsia="Arial" w:hAnsi="Arial"/>
          <w:b/>
          <w:bCs/>
          <w:color w:val="44546A"/>
          <w:sz w:val="24"/>
          <w:szCs w:val="24"/>
        </w:rPr>
        <w:t xml:space="preserve">3.5 Streamlit visibility pattern</w:t>
      </w:r>
    </w:p>
    <w:p>
      <w:pPr>
        <w:spacing w:after="60" w:before="60"/>
        <w:jc w:val="left"/>
      </w:pPr>
      <w:r>
        <w:rPr>
          <w:rFonts w:ascii="Arial" w:cs="Arial" w:eastAsia="Arial" w:hAnsi="Arial"/>
          <w:b w:val="false"/>
          <w:bCs w:val="false"/>
          <w:color w:val="000000"/>
          <w:sz w:val="22"/>
          <w:szCs w:val="22"/>
        </w:rPr>
        <w:t xml:space="preserve">Every cluster batch shipped its UI page in the same batch as its engines. There was no separate UI follow-up. The G130 audit gate (locked at v10.46) enforces this; nothing in Phase 2A drifted.</w:t>
      </w:r>
    </w:p>
    <w:p>
      <w:pPr>
        <w:pStyle w:val="Heading1"/>
        <w:spacing w:after="160" w:before="320"/>
      </w:pPr>
      <w:r>
        <w:rPr>
          <w:rFonts w:ascii="Arial" w:cs="Arial" w:eastAsia="Arial" w:hAnsi="Arial"/>
          <w:b/>
          <w:bCs/>
          <w:color w:val="1F3864"/>
          <w:sz w:val="32"/>
          <w:szCs w:val="32"/>
        </w:rPr>
        <w:t xml:space="preserve">4. What nearly broke</w:t>
      </w:r>
    </w:p>
    <w:p>
      <w:pPr>
        <w:pBdr>
          <w:bottom w:val="single" w:color="2E75B6" w:sz="8" w:space="1"/>
        </w:pBdr>
        <w:spacing w:after="80" w:before="80"/>
      </w:pPr>
      <w:r>
        <w:t xml:space="preserve"/>
      </w:r>
    </w:p>
    <w:p>
      <w:pPr>
        <w:pStyle w:val="Heading3"/>
        <w:spacing w:after="100" w:before="200"/>
      </w:pPr>
      <w:r>
        <w:rPr>
          <w:rFonts w:ascii="Arial" w:cs="Arial" w:eastAsia="Arial" w:hAnsi="Arial"/>
          <w:b/>
          <w:bCs/>
          <w:color w:val="44546A"/>
          <w:sz w:val="24"/>
          <w:szCs w:val="24"/>
        </w:rPr>
        <w:t xml:space="preserve">4.1 Memory loss on canonical patterns</w:t>
      </w:r>
    </w:p>
    <w:p>
      <w:pPr>
        <w:spacing w:after="60" w:before="60"/>
        <w:jc w:val="left"/>
      </w:pPr>
      <w:r>
        <w:rPr>
          <w:rFonts w:ascii="Arial" w:cs="Arial" w:eastAsia="Arial" w:hAnsi="Arial"/>
          <w:b w:val="false"/>
          <w:bCs w:val="false"/>
          <w:color w:val="000000"/>
          <w:sz w:val="22"/>
          <w:szCs w:val="22"/>
        </w:rPr>
        <w:t xml:space="preserve">By v10.282 the running summary in conversation context had lost several critical pieces of platform knowledge: the canonical audit_log signature (action, username, detail, module, before, after — not the actor/target/outcome shape I built against), the canonical access import path (pages._access, not utils.access_helpers), and the manifest entry shape (icon and current_module_key are required fields).</w:t>
      </w:r>
    </w:p>
    <w:p>
      <w:pPr>
        <w:spacing w:after="60" w:before="60"/>
        <w:jc w:val="left"/>
      </w:pPr>
      <w:r>
        <w:rPr>
          <w:rFonts w:ascii="Arial" w:cs="Arial" w:eastAsia="Arial" w:hAnsi="Arial"/>
          <w:b w:val="false"/>
          <w:bCs w:val="false"/>
          <w:color w:val="000000"/>
          <w:sz w:val="22"/>
          <w:szCs w:val="22"/>
        </w:rPr>
        <w:t xml:space="preserve">This was not catastrophic — the audit caught some of it (e.g. G160 manifest schema), but G160 itself only checked department_primary and module_path; the full required-field set wasn't enforced until v10.283 strengthened it. The v10.284 hotfix added G177 to catch the remaining import-resolution slice.</w:t>
      </w:r>
    </w:p>
    <w:p>
      <w:pPr>
        <w:spacing w:after="60" w:before="60"/>
        <w:jc w:val="left"/>
      </w:pPr>
      <w:r>
        <w:rPr>
          <w:rFonts w:ascii="Arial" w:cs="Arial" w:eastAsia="Arial" w:hAnsi="Arial"/>
          <w:b w:val="false"/>
          <w:bCs w:val="false"/>
          <w:color w:val="000000"/>
          <w:sz w:val="22"/>
          <w:szCs w:val="22"/>
        </w:rPr>
        <w:t xml:space="preserve">The lesson: pattern memory degrades over a long phase. The fix is the running 'top of mind' brief plus per-batch master-prompt updates rather than end-of-phase batch updates.</w:t>
      </w:r>
    </w:p>
    <w:p>
      <w:pPr>
        <w:pStyle w:val="Heading3"/>
        <w:spacing w:after="100" w:before="200"/>
      </w:pPr>
      <w:r>
        <w:rPr>
          <w:rFonts w:ascii="Arial" w:cs="Arial" w:eastAsia="Arial" w:hAnsi="Arial"/>
          <w:b/>
          <w:bCs/>
          <w:color w:val="44546A"/>
          <w:sz w:val="24"/>
          <w:szCs w:val="24"/>
        </w:rPr>
        <w:t xml:space="preserve">4.2 Legacy data shapes vs new schemas</w:t>
      </w:r>
    </w:p>
    <w:p>
      <w:pPr>
        <w:spacing w:after="60" w:before="60"/>
        <w:jc w:val="left"/>
      </w:pPr>
      <w:r>
        <w:rPr>
          <w:rFonts w:ascii="Arial" w:cs="Arial" w:eastAsia="Arial" w:hAnsi="Arial"/>
          <w:b w:val="false"/>
          <w:bCs w:val="false"/>
          <w:color w:val="000000"/>
          <w:sz w:val="22"/>
          <w:szCs w:val="22"/>
        </w:rPr>
        <w:t xml:space="preserve">v10.279 Campaigns Management built page 94 against the new campaign_id/state schema. Joshua's existing data/campaigns.json had 50 records in the old id/type/status shape from before the platform existed. The page crashed on first load. This was caught late (v10.284 hotfix) because no audit gate exercised page-load against existing data files — only against engine self-tests with empty data dirs.</w:t>
      </w:r>
    </w:p>
    <w:p>
      <w:pPr>
        <w:spacing w:after="60" w:before="60"/>
        <w:jc w:val="left"/>
      </w:pPr>
      <w:r>
        <w:rPr>
          <w:rFonts w:ascii="Arial" w:cs="Arial" w:eastAsia="Arial" w:hAnsi="Arial"/>
          <w:b w:val="false"/>
          <w:bCs w:val="false"/>
          <w:color w:val="000000"/>
          <w:sz w:val="22"/>
          <w:szCs w:val="22"/>
        </w:rPr>
        <w:t xml:space="preserve">Phase 2B should add a gate category that probes 'page X loads without crashing against a snapshot of the live data tree.' That requires committing a snapshot fixture or running against staging.</w:t>
      </w:r>
    </w:p>
    <w:p>
      <w:pPr>
        <w:pStyle w:val="Heading3"/>
        <w:spacing w:after="100" w:before="200"/>
      </w:pPr>
      <w:r>
        <w:rPr>
          <w:rFonts w:ascii="Arial" w:cs="Arial" w:eastAsia="Arial" w:hAnsi="Arial"/>
          <w:b/>
          <w:bCs/>
          <w:color w:val="44546A"/>
          <w:sz w:val="24"/>
          <w:szCs w:val="24"/>
        </w:rPr>
        <w:t xml:space="preserve">4.3 The IT/Digital pt2 close was harder than expected</w:t>
      </w:r>
    </w:p>
    <w:p>
      <w:pPr>
        <w:spacing w:after="60" w:before="60"/>
        <w:jc w:val="left"/>
      </w:pPr>
      <w:r>
        <w:rPr>
          <w:rFonts w:ascii="Arial" w:cs="Arial" w:eastAsia="Arial" w:hAnsi="Arial"/>
          <w:b w:val="false"/>
          <w:bCs w:val="false"/>
          <w:color w:val="000000"/>
          <w:sz w:val="22"/>
          <w:szCs w:val="22"/>
        </w:rPr>
        <w:t xml:space="preserve">v10.282 closed five standards and tried to ship a 9-tab compliance &amp; certifications surface. G4 (≤7 tabs hard limit) failed. Compaction of state-transition forms into expanders inside their primary register tabs salvaged it. This is the only Phase 2A batch where the page had to be redesigned mid-batch.</w:t>
      </w:r>
    </w:p>
    <w:p>
      <w:pPr>
        <w:spacing w:after="60" w:before="60"/>
        <w:jc w:val="left"/>
      </w:pPr>
      <w:r>
        <w:rPr>
          <w:rFonts w:ascii="Arial" w:cs="Arial" w:eastAsia="Arial" w:hAnsi="Arial"/>
          <w:b w:val="false"/>
          <w:bCs w:val="false"/>
          <w:color w:val="000000"/>
          <w:sz w:val="22"/>
          <w:szCs w:val="22"/>
        </w:rPr>
        <w:t xml:space="preserve">Lesson: when a cluster has a 5+-standard scope, the cockpit design has to plan for the tab budget up front, not at the end. Add this to the master prompt.</w:t>
      </w:r>
    </w:p>
    <w:p>
      <w:pPr>
        <w:pStyle w:val="Heading3"/>
        <w:spacing w:after="100" w:before="200"/>
      </w:pPr>
      <w:r>
        <w:rPr>
          <w:rFonts w:ascii="Arial" w:cs="Arial" w:eastAsia="Arial" w:hAnsi="Arial"/>
          <w:b/>
          <w:bCs/>
          <w:color w:val="44546A"/>
          <w:sz w:val="24"/>
          <w:szCs w:val="24"/>
        </w:rPr>
        <w:t xml:space="preserve">4.4 Reused gate ID in v10.282</w:t>
      </w:r>
    </w:p>
    <w:p>
      <w:pPr>
        <w:spacing w:after="60" w:before="60"/>
        <w:jc w:val="left"/>
      </w:pPr>
      <w:r>
        <w:rPr>
          <w:rFonts w:ascii="Arial" w:cs="Arial" w:eastAsia="Arial" w:hAnsi="Arial"/>
          <w:b w:val="false"/>
          <w:bCs w:val="false"/>
          <w:color w:val="000000"/>
          <w:sz w:val="22"/>
          <w:szCs w:val="22"/>
        </w:rPr>
        <w:t xml:space="preserve">During v10.282 build, the gate function gate_it_digital_pt1_registered was originally tagged G174 in v10.281, then v10.282 mistakenly reused G174 for IT/Digital pt2. Caught and corrected before close — pt1 stayed at G174, pt2 became G175. No production impact, but worth flagging because the gate-ID counter has to be handled deliberately, not by inference.</w:t>
      </w:r>
    </w:p>
    <w:p>
      <w:pPr>
        <w:pStyle w:val="Heading3"/>
        <w:spacing w:after="100" w:before="200"/>
      </w:pPr>
      <w:r>
        <w:rPr>
          <w:rFonts w:ascii="Arial" w:cs="Arial" w:eastAsia="Arial" w:hAnsi="Arial"/>
          <w:b/>
          <w:bCs/>
          <w:color w:val="44546A"/>
          <w:sz w:val="24"/>
          <w:szCs w:val="24"/>
        </w:rPr>
        <w:t xml:space="preserve">4.5 The fictitious-module bug class</w:t>
      </w:r>
    </w:p>
    <w:p>
      <w:pPr>
        <w:spacing w:after="60" w:before="60"/>
        <w:jc w:val="left"/>
      </w:pPr>
      <w:r>
        <w:rPr>
          <w:rFonts w:ascii="Arial" w:cs="Arial" w:eastAsia="Arial" w:hAnsi="Arial"/>
          <w:b w:val="false"/>
          <w:bCs w:val="false"/>
          <w:color w:val="000000"/>
          <w:sz w:val="22"/>
          <w:szCs w:val="22"/>
        </w:rPr>
        <w:t xml:space="preserve">Pages 95, 96, 97, 99 all imported utils.audit_log (canonical: utils.core_audit) and utils.access_helpers (canonical: pages._access). All four passed every audit gate up to and including G176, because no gate checked import resolution. The bugs only surfaced when Joshua loaded the pages.</w:t>
      </w:r>
    </w:p>
    <w:p>
      <w:pPr>
        <w:spacing w:after="60" w:before="60"/>
        <w:jc w:val="left"/>
      </w:pPr>
      <w:r>
        <w:rPr>
          <w:rFonts w:ascii="Arial" w:cs="Arial" w:eastAsia="Arial" w:hAnsi="Arial"/>
          <w:b w:val="false"/>
          <w:bCs w:val="false"/>
          <w:color w:val="000000"/>
          <w:sz w:val="22"/>
          <w:szCs w:val="22"/>
        </w:rPr>
        <w:t xml:space="preserve">This is now fixed by G177 (v10.284). The deeper lesson is that audit gates need to extend to every layer that runs in production — engine self-tests are not enough; static import resolution, manifest schema completeness, and runtime page-load smoke tests should all be gate categories.</w:t>
      </w:r>
    </w:p>
    <w:p>
      <w:pPr>
        <w:pStyle w:val="Heading1"/>
        <w:spacing w:after="160" w:before="320"/>
      </w:pPr>
      <w:r>
        <w:rPr>
          <w:rFonts w:ascii="Arial" w:cs="Arial" w:eastAsia="Arial" w:hAnsi="Arial"/>
          <w:b/>
          <w:bCs/>
          <w:color w:val="1F3864"/>
          <w:sz w:val="32"/>
          <w:szCs w:val="32"/>
        </w:rPr>
        <w:t xml:space="preserve">5. Master prompt updates for Phase 2B</w:t>
      </w:r>
    </w:p>
    <w:p>
      <w:pPr>
        <w:pBdr>
          <w:bottom w:val="single" w:color="2E75B6" w:sz="8" w:space="1"/>
        </w:pBdr>
        <w:spacing w:after="80" w:before="80"/>
      </w:pPr>
      <w:r>
        <w:t xml:space="preserve"/>
      </w:r>
    </w:p>
    <w:p>
      <w:pPr>
        <w:spacing w:after="60" w:before="60"/>
        <w:jc w:val="left"/>
      </w:pPr>
      <w:r>
        <w:rPr>
          <w:rFonts w:ascii="Arial" w:cs="Arial" w:eastAsia="Arial" w:hAnsi="Arial"/>
          <w:b w:val="false"/>
          <w:bCs w:val="false"/>
          <w:color w:val="000000"/>
          <w:sz w:val="22"/>
          <w:szCs w:val="22"/>
        </w:rPr>
        <w:t xml:space="preserve">These are the changes that should land in the operator's master prompt before the next batch. They are written as additive rules — Phase 2A's prompt remains correct; these are reinforcements based on what nearly broke.</w:t>
      </w:r>
    </w:p>
    <w:p>
      <w:pPr>
        <w:pStyle w:val="Heading3"/>
        <w:spacing w:after="100" w:before="200"/>
      </w:pPr>
      <w:r>
        <w:rPr>
          <w:rFonts w:ascii="Arial" w:cs="Arial" w:eastAsia="Arial" w:hAnsi="Arial"/>
          <w:b/>
          <w:bCs/>
          <w:color w:val="44546A"/>
          <w:sz w:val="24"/>
          <w:szCs w:val="24"/>
        </w:rPr>
        <w:t xml:space="preserve">5.1 Canonical platform-wide imports (NEVER deviate)</w:t>
      </w:r>
    </w:p>
    <w:p>
      <w:pPr>
        <w:pStyle w:val="ListParagraph"/>
        <w:numPr>
          <w:ilvl w:val="0"/>
          <w:numId w:val="2"/>
        </w:numPr>
        <w:spacing w:after="40" w:before="40"/>
      </w:pPr>
      <w:r>
        <w:rPr>
          <w:rFonts w:ascii="Arial" w:cs="Arial" w:eastAsia="Arial" w:hAnsi="Arial"/>
          <w:b/>
          <w:bCs/>
          <w:color w:val="000000"/>
          <w:sz w:val="22"/>
          <w:szCs w:val="22"/>
        </w:rPr>
        <w:t xml:space="preserve">audit_log → from utils.core_audit import audit_log</w:t>
      </w:r>
    </w:p>
    <w:p>
      <w:pPr>
        <w:pStyle w:val="ListParagraph"/>
        <w:numPr>
          <w:ilvl w:val="0"/>
          <w:numId w:val="2"/>
        </w:numPr>
        <w:spacing w:after="40" w:before="40"/>
      </w:pPr>
      <w:r>
        <w:rPr>
          <w:rFonts w:ascii="Arial" w:cs="Arial" w:eastAsia="Arial" w:hAnsi="Arial"/>
          <w:b w:val="false"/>
          <w:bCs w:val="false"/>
          <w:color w:val="000000"/>
          <w:sz w:val="22"/>
          <w:szCs w:val="22"/>
        </w:rPr>
        <w:t xml:space="preserve">Real signature: audit_log(action, username, detail, module, before, after). NEVER use actor/target/entity/outcome/metadata.</w:t>
      </w:r>
    </w:p>
    <w:p>
      <w:pPr>
        <w:pStyle w:val="ListParagraph"/>
        <w:numPr>
          <w:ilvl w:val="0"/>
          <w:numId w:val="2"/>
        </w:numPr>
        <w:spacing w:after="40" w:before="40"/>
      </w:pPr>
      <w:r>
        <w:rPr>
          <w:rFonts w:ascii="Arial" w:cs="Arial" w:eastAsia="Arial" w:hAnsi="Arial"/>
          <w:b/>
          <w:bCs/>
          <w:color w:val="000000"/>
          <w:sz w:val="22"/>
          <w:szCs w:val="22"/>
        </w:rPr>
        <w:t xml:space="preserve">Access guard → from pages._access import require_access</w:t>
      </w:r>
    </w:p>
    <w:p>
      <w:pPr>
        <w:pStyle w:val="ListParagraph"/>
        <w:numPr>
          <w:ilvl w:val="0"/>
          <w:numId w:val="2"/>
        </w:numPr>
        <w:spacing w:after="40" w:before="40"/>
      </w:pPr>
      <w:r>
        <w:rPr>
          <w:rFonts w:ascii="Arial" w:cs="Arial" w:eastAsia="Arial" w:hAnsi="Arial"/>
          <w:b w:val="false"/>
          <w:bCs w:val="false"/>
          <w:color w:val="000000"/>
          <w:sz w:val="22"/>
          <w:szCs w:val="22"/>
        </w:rPr>
        <w:t xml:space="preserve">require_access takes the manifest module_path string verbatim (e.g. 'shared.command_centre', 'it_platform.it_digital_pt1', 'trade_finance.swift_cockpit'). Never invent a flat name.</w:t>
      </w:r>
    </w:p>
    <w:p>
      <w:pPr>
        <w:pStyle w:val="ListParagraph"/>
        <w:numPr>
          <w:ilvl w:val="0"/>
          <w:numId w:val="2"/>
        </w:numPr>
        <w:spacing w:after="40" w:before="40"/>
      </w:pPr>
      <w:r>
        <w:rPr>
          <w:rFonts w:ascii="Arial" w:cs="Arial" w:eastAsia="Arial" w:hAnsi="Arial"/>
          <w:b w:val="false"/>
          <w:bCs w:val="false"/>
          <w:color w:val="000000"/>
          <w:sz w:val="22"/>
          <w:szCs w:val="22"/>
        </w:rPr>
        <w:t xml:space="preserve">There is no utils.audit_log, no utils.access_helpers. Either name in a new page is a build error and G177 will reject it.</w:t>
      </w:r>
    </w:p>
    <w:p>
      <w:pPr>
        <w:pStyle w:val="Heading3"/>
        <w:spacing w:after="100" w:before="200"/>
      </w:pPr>
      <w:r>
        <w:rPr>
          <w:rFonts w:ascii="Arial" w:cs="Arial" w:eastAsia="Arial" w:hAnsi="Arial"/>
          <w:b/>
          <w:bCs/>
          <w:color w:val="44546A"/>
          <w:sz w:val="24"/>
          <w:szCs w:val="24"/>
        </w:rPr>
        <w:t xml:space="preserve">5.2 Manifest entry required fields</w:t>
      </w:r>
    </w:p>
    <w:p>
      <w:pPr>
        <w:spacing w:after="60" w:before="60"/>
        <w:jc w:val="left"/>
      </w:pPr>
      <w:r>
        <w:rPr>
          <w:rFonts w:ascii="Arial" w:cs="Arial" w:eastAsia="Arial" w:hAnsi="Arial"/>
          <w:b w:val="false"/>
          <w:bCs w:val="false"/>
          <w:color w:val="000000"/>
          <w:sz w:val="22"/>
          <w:szCs w:val="22"/>
        </w:rPr>
        <w:t xml:space="preserve">Every entry in pages/_manifest.json must declare: department_primary, module_path, secondary_visibility (list), title, icon, current_module_key, description. G160 enforces the first two; v10.283 strengthened it to enforce title/icon/current_module_key. Missing any of these is now a build failure.</w:t>
      </w:r>
    </w:p>
    <w:p>
      <w:pPr>
        <w:pStyle w:val="Heading3"/>
        <w:spacing w:after="100" w:before="200"/>
      </w:pPr>
      <w:r>
        <w:rPr>
          <w:rFonts w:ascii="Arial" w:cs="Arial" w:eastAsia="Arial" w:hAnsi="Arial"/>
          <w:b/>
          <w:bCs/>
          <w:color w:val="44546A"/>
          <w:sz w:val="24"/>
          <w:szCs w:val="24"/>
        </w:rPr>
        <w:t xml:space="preserve">5.3 Cockpit tab budget for new clusters</w:t>
      </w:r>
    </w:p>
    <w:p>
      <w:pPr>
        <w:pStyle w:val="ListParagraph"/>
        <w:numPr>
          <w:ilvl w:val="0"/>
          <w:numId w:val="2"/>
        </w:numPr>
        <w:spacing w:after="40" w:before="40"/>
      </w:pPr>
      <w:r>
        <w:rPr>
          <w:rFonts w:ascii="Arial" w:cs="Arial" w:eastAsia="Arial" w:hAnsi="Arial"/>
          <w:b w:val="false"/>
          <w:bCs w:val="false"/>
          <w:color w:val="000000"/>
          <w:sz w:val="22"/>
          <w:szCs w:val="22"/>
        </w:rPr>
        <w:t xml:space="preserve">Plan tab layout BEFORE writing the page. ≤7 tabs hard limit (G4).</w:t>
      </w:r>
    </w:p>
    <w:p>
      <w:pPr>
        <w:pStyle w:val="ListParagraph"/>
        <w:numPr>
          <w:ilvl w:val="0"/>
          <w:numId w:val="2"/>
        </w:numPr>
        <w:spacing w:after="40" w:before="40"/>
      </w:pPr>
      <w:r>
        <w:rPr>
          <w:rFonts w:ascii="Arial" w:cs="Arial" w:eastAsia="Arial" w:hAnsi="Arial"/>
          <w:b w:val="false"/>
          <w:bCs w:val="false"/>
          <w:color w:val="000000"/>
          <w:sz w:val="22"/>
          <w:szCs w:val="22"/>
        </w:rPr>
        <w:t xml:space="preserve">If the cluster has 5+ standards, default pattern: 1 tab per major capability, with related state-transition forms folded into expanders inside their primary register tabs.</w:t>
      </w:r>
    </w:p>
    <w:p>
      <w:pPr>
        <w:pStyle w:val="ListParagraph"/>
        <w:numPr>
          <w:ilvl w:val="0"/>
          <w:numId w:val="2"/>
        </w:numPr>
        <w:spacing w:after="40" w:before="40"/>
      </w:pPr>
      <w:r>
        <w:rPr>
          <w:rFonts w:ascii="Arial" w:cs="Arial" w:eastAsia="Arial" w:hAnsi="Arial"/>
          <w:b w:val="false"/>
          <w:bCs w:val="false"/>
          <w:color w:val="000000"/>
          <w:sz w:val="22"/>
          <w:szCs w:val="22"/>
        </w:rPr>
        <w:t xml:space="preserve">Never plan a 9-tab page and expect to compact at audit time.</w:t>
      </w:r>
    </w:p>
    <w:p>
      <w:pPr>
        <w:pStyle w:val="Heading3"/>
        <w:spacing w:after="100" w:before="200"/>
      </w:pPr>
      <w:r>
        <w:rPr>
          <w:rFonts w:ascii="Arial" w:cs="Arial" w:eastAsia="Arial" w:hAnsi="Arial"/>
          <w:b/>
          <w:bCs/>
          <w:color w:val="44546A"/>
          <w:sz w:val="24"/>
          <w:szCs w:val="24"/>
        </w:rPr>
        <w:t xml:space="preserve">5.4 Legacy-data tolerance in cockpits</w:t>
      </w:r>
    </w:p>
    <w:p>
      <w:pPr>
        <w:pStyle w:val="ListParagraph"/>
        <w:numPr>
          <w:ilvl w:val="0"/>
          <w:numId w:val="2"/>
        </w:numPr>
        <w:spacing w:after="40" w:before="40"/>
      </w:pPr>
      <w:r>
        <w:rPr>
          <w:rFonts w:ascii="Arial" w:cs="Arial" w:eastAsia="Arial" w:hAnsi="Arial"/>
          <w:b w:val="false"/>
          <w:bCs w:val="false"/>
          <w:color w:val="000000"/>
          <w:sz w:val="22"/>
          <w:szCs w:val="22"/>
        </w:rPr>
        <w:t xml:space="preserve">Every list/iterate over engine output must filter records that don't match the expected shape. Surface a banner reporting how many legacy records were skipped.</w:t>
      </w:r>
    </w:p>
    <w:p>
      <w:pPr>
        <w:pStyle w:val="ListParagraph"/>
        <w:numPr>
          <w:ilvl w:val="0"/>
          <w:numId w:val="2"/>
        </w:numPr>
        <w:spacing w:after="40" w:before="40"/>
      </w:pPr>
      <w:r>
        <w:rPr>
          <w:rFonts w:ascii="Arial" w:cs="Arial" w:eastAsia="Arial" w:hAnsi="Arial"/>
          <w:b w:val="false"/>
          <w:bCs w:val="false"/>
          <w:color w:val="000000"/>
          <w:sz w:val="22"/>
          <w:szCs w:val="22"/>
        </w:rPr>
        <w:t xml:space="preserve">Never hard-key c["x"] on engine output without a guard. Use c.get("x") or filter upstream.</w:t>
      </w:r>
    </w:p>
    <w:p>
      <w:pPr>
        <w:pStyle w:val="Heading3"/>
        <w:spacing w:after="100" w:before="200"/>
      </w:pPr>
      <w:r>
        <w:rPr>
          <w:rFonts w:ascii="Arial" w:cs="Arial" w:eastAsia="Arial" w:hAnsi="Arial"/>
          <w:b/>
          <w:bCs/>
          <w:color w:val="44546A"/>
          <w:sz w:val="24"/>
          <w:szCs w:val="24"/>
        </w:rPr>
        <w:t xml:space="preserve">5.5 Gate-ID counter discipline</w:t>
      </w:r>
    </w:p>
    <w:p>
      <w:pPr>
        <w:spacing w:after="60" w:before="60"/>
        <w:jc w:val="left"/>
      </w:pPr>
      <w:r>
        <w:rPr>
          <w:rFonts w:ascii="Arial" w:cs="Arial" w:eastAsia="Arial" w:hAnsi="Arial"/>
          <w:b w:val="false"/>
          <w:bCs w:val="false"/>
          <w:color w:val="000000"/>
          <w:sz w:val="22"/>
          <w:szCs w:val="22"/>
        </w:rPr>
        <w:t xml:space="preserve">Gate IDs are linear and never reused. Before adding a new gate, grep the file for the highest existing G-number and increment exactly. Phase 2A's reused-G174 episode was caught early; in a longer run it would have been a real audit corruption.</w:t>
      </w:r>
    </w:p>
    <w:p>
      <w:pPr>
        <w:pStyle w:val="Heading3"/>
        <w:spacing w:after="100" w:before="200"/>
      </w:pPr>
      <w:r>
        <w:rPr>
          <w:rFonts w:ascii="Arial" w:cs="Arial" w:eastAsia="Arial" w:hAnsi="Arial"/>
          <w:b/>
          <w:bCs/>
          <w:color w:val="44546A"/>
          <w:sz w:val="24"/>
          <w:szCs w:val="24"/>
        </w:rPr>
        <w:t xml:space="preserve">5.6 G162 rebase pattern (unchanged but reinforced)</w:t>
      </w:r>
    </w:p>
    <w:p>
      <w:pPr>
        <w:pStyle w:val="ListParagraph"/>
        <w:numPr>
          <w:ilvl w:val="0"/>
          <w:numId w:val="2"/>
        </w:numPr>
        <w:spacing w:after="40" w:before="40"/>
      </w:pPr>
      <w:r>
        <w:rPr>
          <w:rFonts w:ascii="Arial" w:cs="Arial" w:eastAsia="Arial" w:hAnsi="Arial"/>
          <w:b w:val="false"/>
          <w:bCs w:val="false"/>
          <w:color w:val="000000"/>
          <w:sz w:val="22"/>
          <w:szCs w:val="22"/>
        </w:rPr>
        <w:t xml:space="preserve">Run the audit's gate_tenant_identity_hardcoding output to get authoritative per-token deltas. Never compute deltas yourself by counting occurrences.</w:t>
      </w:r>
    </w:p>
    <w:p>
      <w:pPr>
        <w:pStyle w:val="ListParagraph"/>
        <w:numPr>
          <w:ilvl w:val="0"/>
          <w:numId w:val="2"/>
        </w:numPr>
        <w:spacing w:after="40" w:before="40"/>
      </w:pPr>
      <w:r>
        <w:rPr>
          <w:rFonts w:ascii="Arial" w:cs="Arial" w:eastAsia="Arial" w:hAnsi="Arial"/>
          <w:b w:val="false"/>
          <w:bCs w:val="false"/>
          <w:color w:val="000000"/>
          <w:sz w:val="22"/>
          <w:szCs w:val="22"/>
        </w:rPr>
        <w:t xml:space="preserve">Update data/audit_baselines.json g162_tenant_hardcoding: per_token (replacement, not delta), total, established_in, append scope_history entry with version/date/from_total/to_total/delta/rationale/tokens_changed.</w:t>
      </w:r>
    </w:p>
    <w:p>
      <w:pPr>
        <w:pStyle w:val="ListParagraph"/>
        <w:numPr>
          <w:ilvl w:val="0"/>
          <w:numId w:val="2"/>
        </w:numPr>
        <w:spacing w:after="40" w:before="40"/>
      </w:pPr>
      <w:r>
        <w:rPr>
          <w:rFonts w:ascii="Arial" w:cs="Arial" w:eastAsia="Arial" w:hAnsi="Arial"/>
          <w:b w:val="false"/>
          <w:bCs w:val="false"/>
          <w:color w:val="000000"/>
          <w:sz w:val="22"/>
          <w:szCs w:val="22"/>
        </w:rPr>
        <w:t xml:space="preserve">Trade-finance, IT/Digital, Compliance and CBK clusters always trigger CBK ratchet movement. Plan for it; don't be surprised.</w:t>
      </w:r>
    </w:p>
    <w:p>
      <w:pPr>
        <w:pStyle w:val="Heading3"/>
        <w:spacing w:after="100" w:before="200"/>
      </w:pPr>
      <w:r>
        <w:rPr>
          <w:rFonts w:ascii="Arial" w:cs="Arial" w:eastAsia="Arial" w:hAnsi="Arial"/>
          <w:b/>
          <w:bCs/>
          <w:color w:val="44546A"/>
          <w:sz w:val="24"/>
          <w:szCs w:val="24"/>
        </w:rPr>
        <w:t xml:space="preserve">5.7 Memory and master-prompt cadence</w:t>
      </w:r>
    </w:p>
    <w:p>
      <w:pPr>
        <w:spacing w:after="60" w:before="60"/>
        <w:jc w:val="left"/>
      </w:pPr>
      <w:r>
        <w:rPr>
          <w:rFonts w:ascii="Arial" w:cs="Arial" w:eastAsia="Arial" w:hAnsi="Arial"/>
          <w:b w:val="false"/>
          <w:bCs w:val="false"/>
          <w:color w:val="000000"/>
          <w:sz w:val="22"/>
          <w:szCs w:val="22"/>
        </w:rPr>
        <w:t xml:space="preserve">After every cluster closure, update the user's memory ('top of mind' section) with the latest cluster, standards range, and any new canonical patterns introduced. Don't wait for end-of-phase. The Phase 2A end-of-phase update at v10.285 is too late for the issues that surfaced at v10.283/v10.284.</w:t>
      </w:r>
    </w:p>
    <w:p>
      <w:r>
        <w:br w:type="page"/>
      </w:r>
    </w:p>
    <w:p>
      <w:pPr>
        <w:pStyle w:val="Heading1"/>
        <w:spacing w:after="160" w:before="320"/>
      </w:pPr>
      <w:r>
        <w:rPr>
          <w:rFonts w:ascii="Arial" w:cs="Arial" w:eastAsia="Arial" w:hAnsi="Arial"/>
          <w:b/>
          <w:bCs/>
          <w:color w:val="1F3864"/>
          <w:sz w:val="32"/>
          <w:szCs w:val="32"/>
        </w:rPr>
        <w:t xml:space="preserve">6. UI integration backfill plan</w:t>
      </w:r>
    </w:p>
    <w:p>
      <w:pPr>
        <w:pBdr>
          <w:bottom w:val="single" w:color="2E75B6" w:sz="8" w:space="1"/>
        </w:pBdr>
        <w:spacing w:after="80" w:before="80"/>
      </w:pPr>
      <w:r>
        <w:t xml:space="preserve"/>
      </w:r>
    </w:p>
    <w:p>
      <w:pPr>
        <w:spacing w:after="60" w:before="60"/>
        <w:jc w:val="left"/>
      </w:pPr>
      <w:r>
        <w:rPr>
          <w:rFonts w:ascii="Arial" w:cs="Arial" w:eastAsia="Arial" w:hAnsi="Arial"/>
          <w:b w:val="false"/>
          <w:bCs w:val="false"/>
          <w:color w:val="000000"/>
          <w:sz w:val="22"/>
          <w:szCs w:val="22"/>
        </w:rPr>
        <w:t xml:space="preserve">The Streamlit visibility pattern (G130, locked at v10.46) requires every cluster batch to ship its UI page in the same batch as its engines. Phase 2A complied for every new cluster from v10.193 onwards. But there is residual debt from before v10.193 and from the long arcs (credit, trade finance, treasury) that closed under earlier patterns.</w:t>
      </w:r>
    </w:p>
    <w:p>
      <w:pPr>
        <w:pStyle w:val="Heading3"/>
        <w:spacing w:after="100" w:before="200"/>
      </w:pPr>
      <w:r>
        <w:rPr>
          <w:rFonts w:ascii="Arial" w:cs="Arial" w:eastAsia="Arial" w:hAnsi="Arial"/>
          <w:b/>
          <w:bCs/>
          <w:color w:val="44546A"/>
          <w:sz w:val="24"/>
          <w:szCs w:val="24"/>
        </w:rPr>
        <w:t xml:space="preserve">6.1 Inventory: pages on disk vs cluster engines</w:t>
      </w:r>
    </w:p>
    <w:p>
      <w:pPr>
        <w:spacing w:after="60" w:before="60"/>
        <w:jc w:val="left"/>
      </w:pPr>
      <w:r>
        <w:rPr>
          <w:rFonts w:ascii="Arial" w:cs="Arial" w:eastAsia="Arial" w:hAnsi="Arial"/>
          <w:b w:val="false"/>
          <w:bCs w:val="false"/>
          <w:color w:val="000000"/>
          <w:sz w:val="22"/>
          <w:szCs w:val="22"/>
        </w:rPr>
        <w:t xml:space="preserve">104 pages on disk, 308 active standards, 45 admin tier registrations. By rough mapping, that's 7 standards per cockpit page on average — which is right for the cluster pattern. But several large arcs closed before the cluster pattern was formalised, with engines living in utils/ but only smoke-test integration in their lead page (e.g. the trade_finance arc closed at v10.80 with only 46_trade_finance.py integration; SWIFT got its dedicated cockpit at v10.283 because of this).</w:t>
      </w:r>
    </w:p>
    <w:p>
      <w:pPr>
        <w:pStyle w:val="Heading3"/>
        <w:spacing w:after="100" w:before="200"/>
      </w:pPr>
      <w:r>
        <w:rPr>
          <w:rFonts w:ascii="Arial" w:cs="Arial" w:eastAsia="Arial" w:hAnsi="Arial"/>
          <w:b/>
          <w:bCs/>
          <w:color w:val="44546A"/>
          <w:sz w:val="24"/>
          <w:szCs w:val="24"/>
        </w:rPr>
        <w:t xml:space="preserve">6.2 Backfill candidates (Phase 2B Q1)</w:t>
      </w:r>
    </w:p>
    <w:p>
      <w:pPr>
        <w:pStyle w:val="ListParagraph"/>
        <w:numPr>
          <w:ilvl w:val="0"/>
          <w:numId w:val="2"/>
        </w:numPr>
        <w:spacing w:after="40" w:before="40"/>
      </w:pPr>
      <w:r>
        <w:rPr>
          <w:rFonts w:ascii="Arial" w:cs="Arial" w:eastAsia="Arial" w:hAnsi="Arial"/>
          <w:b w:val="false"/>
          <w:bCs w:val="false"/>
          <w:color w:val="000000"/>
          <w:sz w:val="22"/>
          <w:szCs w:val="22"/>
        </w:rPr>
        <w:t xml:space="preserve">Credit arc engines (#119–#130) — 12 engines integrated into 19/20/21/22/23 pages. Some surface gaps where the engine has methods that no page exposes. Worth a structured audit.</w:t>
      </w:r>
    </w:p>
    <w:p>
      <w:pPr>
        <w:pStyle w:val="ListParagraph"/>
        <w:numPr>
          <w:ilvl w:val="0"/>
          <w:numId w:val="2"/>
        </w:numPr>
        <w:spacing w:after="40" w:before="40"/>
      </w:pPr>
      <w:r>
        <w:rPr>
          <w:rFonts w:ascii="Arial" w:cs="Arial" w:eastAsia="Arial" w:hAnsi="Arial"/>
          <w:b w:val="false"/>
          <w:bCs w:val="false"/>
          <w:color w:val="000000"/>
          <w:sz w:val="22"/>
          <w:szCs w:val="22"/>
        </w:rPr>
        <w:t xml:space="preserve">Treasury arc engines (#231–#240) — similar pattern. Treasury cockpit at page 25 covers most surfaces but the FTP and IRRBB engines have analytics methods that are not yet user-accessible.</w:t>
      </w:r>
    </w:p>
    <w:p>
      <w:pPr>
        <w:pStyle w:val="ListParagraph"/>
        <w:numPr>
          <w:ilvl w:val="0"/>
          <w:numId w:val="2"/>
        </w:numPr>
        <w:spacing w:after="40" w:before="40"/>
      </w:pPr>
      <w:r>
        <w:rPr>
          <w:rFonts w:ascii="Arial" w:cs="Arial" w:eastAsia="Arial" w:hAnsi="Arial"/>
          <w:b w:val="false"/>
          <w:bCs w:val="false"/>
          <w:color w:val="000000"/>
          <w:sz w:val="22"/>
          <w:szCs w:val="22"/>
        </w:rPr>
        <w:t xml:space="preserve">Trade Finance arc — closed at v10.80. SWIFT got its v10.283 dedicated cockpit. Document Checking (#270) and Corporate Portal (#271) deserve the same treatment.</w:t>
      </w:r>
    </w:p>
    <w:p>
      <w:pPr>
        <w:pStyle w:val="ListParagraph"/>
        <w:numPr>
          <w:ilvl w:val="0"/>
          <w:numId w:val="2"/>
        </w:numPr>
        <w:spacing w:after="40" w:before="40"/>
      </w:pPr>
      <w:r>
        <w:rPr>
          <w:rFonts w:ascii="Arial" w:cs="Arial" w:eastAsia="Arial" w:hAnsi="Arial"/>
          <w:b w:val="false"/>
          <w:bCs w:val="false"/>
          <w:color w:val="000000"/>
          <w:sz w:val="22"/>
          <w:szCs w:val="22"/>
        </w:rPr>
        <w:t xml:space="preserve">Resource Optimization (#156–#165) — closed early under a 1-page-many-engines pattern. Could benefit from the cluster cockpit redesign if Joshua sees value.</w:t>
      </w:r>
    </w:p>
    <w:p>
      <w:pPr>
        <w:pStyle w:val="Heading3"/>
        <w:spacing w:after="100" w:before="200"/>
      </w:pPr>
      <w:r>
        <w:rPr>
          <w:rFonts w:ascii="Arial" w:cs="Arial" w:eastAsia="Arial" w:hAnsi="Arial"/>
          <w:b/>
          <w:bCs/>
          <w:color w:val="44546A"/>
          <w:sz w:val="24"/>
          <w:szCs w:val="24"/>
        </w:rPr>
        <w:t xml:space="preserve">6.3 Out-of-scope for backfill</w:t>
      </w:r>
    </w:p>
    <w:p>
      <w:pPr>
        <w:pStyle w:val="ListParagraph"/>
        <w:numPr>
          <w:ilvl w:val="0"/>
          <w:numId w:val="2"/>
        </w:numPr>
        <w:spacing w:after="40" w:before="40"/>
      </w:pPr>
      <w:r>
        <w:rPr>
          <w:rFonts w:ascii="Arial" w:cs="Arial" w:eastAsia="Arial" w:hAnsi="Arial"/>
          <w:b w:val="false"/>
          <w:bCs w:val="false"/>
          <w:color w:val="000000"/>
          <w:sz w:val="22"/>
          <w:szCs w:val="22"/>
        </w:rPr>
        <w:t xml:space="preserve">CBK Prudential Reports — 5 active reports work; 3 deferred. Already on Phase 2B Q2 roadmap, not a backfill issue.</w:t>
      </w:r>
    </w:p>
    <w:p>
      <w:pPr>
        <w:pStyle w:val="ListParagraph"/>
        <w:numPr>
          <w:ilvl w:val="0"/>
          <w:numId w:val="2"/>
        </w:numPr>
        <w:spacing w:after="40" w:before="40"/>
      </w:pPr>
      <w:r>
        <w:rPr>
          <w:rFonts w:ascii="Arial" w:cs="Arial" w:eastAsia="Arial" w:hAnsi="Arial"/>
          <w:b w:val="false"/>
          <w:bCs w:val="false"/>
          <w:color w:val="000000"/>
          <w:sz w:val="22"/>
          <w:szCs w:val="22"/>
        </w:rPr>
        <w:t xml:space="preserve">FATCA/CRS XML — deferred to Phase 2B Q2; not a UI gap.</w:t>
      </w:r>
    </w:p>
    <w:p>
      <w:pPr>
        <w:pStyle w:val="ListParagraph"/>
        <w:numPr>
          <w:ilvl w:val="0"/>
          <w:numId w:val="2"/>
        </w:numPr>
        <w:spacing w:after="40" w:before="40"/>
      </w:pPr>
      <w:r>
        <w:rPr>
          <w:rFonts w:ascii="Arial" w:cs="Arial" w:eastAsia="Arial" w:hAnsi="Arial"/>
          <w:b w:val="false"/>
          <w:bCs w:val="false"/>
          <w:color w:val="000000"/>
          <w:sz w:val="22"/>
          <w:szCs w:val="22"/>
        </w:rPr>
        <w:t xml:space="preserve">PG migration (19/52 tables on PostgreSQL) — infrastructure, not UI.</w:t>
      </w:r>
    </w:p>
    <w:p>
      <w:pPr>
        <w:pStyle w:val="ListParagraph"/>
        <w:numPr>
          <w:ilvl w:val="0"/>
          <w:numId w:val="2"/>
        </w:numPr>
        <w:spacing w:after="40" w:before="40"/>
      </w:pPr>
      <w:r>
        <w:rPr>
          <w:rFonts w:ascii="Arial" w:cs="Arial" w:eastAsia="Arial" w:hAnsi="Arial"/>
          <w:b w:val="false"/>
          <w:bCs w:val="false"/>
          <w:color w:val="000000"/>
          <w:sz w:val="22"/>
          <w:szCs w:val="22"/>
        </w:rPr>
        <w:t xml:space="preserve">React SPA / React Native (#37, #38) — explicit decision to defer until Streamlit cockpits stabilise. Not a backfill concern.</w:t>
      </w:r>
    </w:p>
    <w:p>
      <w:pPr>
        <w:pStyle w:val="Heading3"/>
        <w:spacing w:after="100" w:before="200"/>
      </w:pPr>
      <w:r>
        <w:rPr>
          <w:rFonts w:ascii="Arial" w:cs="Arial" w:eastAsia="Arial" w:hAnsi="Arial"/>
          <w:b/>
          <w:bCs/>
          <w:color w:val="44546A"/>
          <w:sz w:val="24"/>
          <w:szCs w:val="24"/>
        </w:rPr>
        <w:t xml:space="preserve">6.4 Suggested backfill cadence</w:t>
      </w:r>
    </w:p>
    <w:p>
      <w:pPr>
        <w:spacing w:after="60" w:before="60"/>
        <w:jc w:val="left"/>
      </w:pPr>
      <w:r>
        <w:rPr>
          <w:rFonts w:ascii="Arial" w:cs="Arial" w:eastAsia="Arial" w:hAnsi="Arial"/>
          <w:b w:val="false"/>
          <w:bCs w:val="false"/>
          <w:color w:val="000000"/>
          <w:sz w:val="22"/>
          <w:szCs w:val="22"/>
        </w:rPr>
        <w:t xml:space="preserve">Two backfill batches per quarter, each picking one closed arc and producing the equivalent of a v10.283-style cockpit-and-G-gate hardening. That's 4–6 backfill batches across Phase 2B Q1, fitting around the new-cluster work for the remaining 22 planned standards.</w:t>
      </w:r>
    </w:p>
    <w:p>
      <w:r>
        <w:br w:type="page"/>
      </w:r>
    </w:p>
    <w:p>
      <w:pPr>
        <w:pStyle w:val="Heading1"/>
        <w:spacing w:after="160" w:before="320"/>
      </w:pPr>
      <w:r>
        <w:rPr>
          <w:rFonts w:ascii="Arial" w:cs="Arial" w:eastAsia="Arial" w:hAnsi="Arial"/>
          <w:b/>
          <w:bCs/>
          <w:color w:val="1F3864"/>
          <w:sz w:val="32"/>
          <w:szCs w:val="32"/>
        </w:rPr>
        <w:t xml:space="preserve">7. Phase 2B charter</w:t>
      </w:r>
    </w:p>
    <w:p>
      <w:pPr>
        <w:pBdr>
          <w:bottom w:val="single" w:color="2E75B6" w:sz="8" w:space="1"/>
        </w:pBdr>
        <w:spacing w:after="80" w:before="80"/>
      </w:pPr>
      <w:r>
        <w:t xml:space="preserve"/>
      </w:r>
    </w:p>
    <w:p>
      <w:pPr>
        <w:spacing w:after="60" w:before="60"/>
        <w:jc w:val="left"/>
      </w:pPr>
      <w:r>
        <w:rPr>
          <w:rFonts w:ascii="Arial" w:cs="Arial" w:eastAsia="Arial" w:hAnsi="Arial"/>
          <w:b w:val="false"/>
          <w:bCs w:val="false"/>
          <w:color w:val="000000"/>
          <w:sz w:val="22"/>
          <w:szCs w:val="22"/>
        </w:rPr>
        <w:t xml:space="preserve">The remaining 22 planned standards plus the backfill plan plus the post-Phase-2A roadmap items together define Phase 2B. The arc is shorter than Phase 2A — fewer standards in scope, more polish per item.</w:t>
      </w:r>
    </w:p>
    <w:p>
      <w:pPr>
        <w:pStyle w:val="Heading3"/>
        <w:spacing w:after="100" w:before="200"/>
      </w:pPr>
      <w:r>
        <w:rPr>
          <w:rFonts w:ascii="Arial" w:cs="Arial" w:eastAsia="Arial" w:hAnsi="Arial"/>
          <w:b/>
          <w:bCs/>
          <w:color w:val="44546A"/>
          <w:sz w:val="24"/>
          <w:szCs w:val="24"/>
        </w:rPr>
        <w:t xml:space="preserve">7.1 Standards still planned (22)</w:t>
      </w:r>
    </w:p>
    <w:p>
      <w:pPr>
        <w:pStyle w:val="ListParagraph"/>
        <w:numPr>
          <w:ilvl w:val="0"/>
          <w:numId w:val="2"/>
        </w:numPr>
        <w:spacing w:after="40" w:before="40"/>
      </w:pPr>
      <w:r>
        <w:rPr>
          <w:rFonts w:ascii="Arial" w:cs="Arial" w:eastAsia="Arial" w:hAnsi="Arial"/>
          <w:b w:val="false"/>
          <w:bCs w:val="false"/>
          <w:color w:val="000000"/>
          <w:sz w:val="22"/>
          <w:szCs w:val="22"/>
        </w:rPr>
        <w:t xml:space="preserve">CIMS arc (15 standards, #166–#180): Customer Instruction Management — omnichannel capture, NLP classification, STP engine, process intelligence, predictive dropout prevention, regulatory SLA enforcement, document/PAN management, unified customer identity, NBA, automated exception management, audit-ready history, self-service portal, agent workspace, performance analytics, completion feedback. The single biggest cluster left.</w:t>
      </w:r>
    </w:p>
    <w:p>
      <w:pPr>
        <w:pStyle w:val="ListParagraph"/>
        <w:numPr>
          <w:ilvl w:val="0"/>
          <w:numId w:val="2"/>
        </w:numPr>
        <w:spacing w:after="40" w:before="40"/>
      </w:pPr>
      <w:r>
        <w:rPr>
          <w:rFonts w:ascii="Arial" w:cs="Arial" w:eastAsia="Arial" w:hAnsi="Arial"/>
          <w:b w:val="false"/>
          <w:bCs w:val="false"/>
          <w:color w:val="000000"/>
          <w:sz w:val="22"/>
          <w:szCs w:val="22"/>
        </w:rPr>
        <w:t xml:space="preserve">Analytics Hub extensions (5 standards, #286–#290): Credit Analyst Workbench, Scheduled Reports &amp; Alerts, Natural Language Query, Anomaly Detection &amp; Alerting, Data Export &amp; Integration Hub. Self-service analytics tooling.</w:t>
      </w:r>
    </w:p>
    <w:p>
      <w:pPr>
        <w:pStyle w:val="ListParagraph"/>
        <w:numPr>
          <w:ilvl w:val="0"/>
          <w:numId w:val="2"/>
        </w:numPr>
        <w:spacing w:after="40" w:before="40"/>
      </w:pPr>
      <w:r>
        <w:rPr>
          <w:rFonts w:ascii="Arial" w:cs="Arial" w:eastAsia="Arial" w:hAnsi="Arial"/>
          <w:b w:val="false"/>
          <w:bCs w:val="false"/>
          <w:color w:val="000000"/>
          <w:sz w:val="22"/>
          <w:szCs w:val="22"/>
        </w:rPr>
        <w:t xml:space="preserve">Trade Finance Mobile App (1 standard, #279): Mobile cockpit for the existing trade finance backend.</w:t>
      </w:r>
    </w:p>
    <w:p>
      <w:pPr>
        <w:pStyle w:val="ListParagraph"/>
        <w:numPr>
          <w:ilvl w:val="0"/>
          <w:numId w:val="2"/>
        </w:numPr>
        <w:spacing w:after="40" w:before="40"/>
      </w:pPr>
      <w:r>
        <w:rPr>
          <w:rFonts w:ascii="Arial" w:cs="Arial" w:eastAsia="Arial" w:hAnsi="Arial"/>
          <w:b w:val="false"/>
          <w:bCs w:val="false"/>
          <w:color w:val="000000"/>
          <w:sz w:val="22"/>
          <w:szCs w:val="22"/>
        </w:rPr>
        <w:t xml:space="preserve">Compliance Dashboard &amp; KPIs (1 standard, #200): Already-built engines surfaced via a dashboard cockpit.</w:t>
      </w:r>
    </w:p>
    <w:p>
      <w:pPr>
        <w:pStyle w:val="Heading3"/>
        <w:spacing w:after="100" w:before="200"/>
      </w:pPr>
      <w:r>
        <w:rPr>
          <w:rFonts w:ascii="Arial" w:cs="Arial" w:eastAsia="Arial" w:hAnsi="Arial"/>
          <w:b/>
          <w:bCs/>
          <w:color w:val="44546A"/>
          <w:sz w:val="24"/>
          <w:szCs w:val="24"/>
        </w:rPr>
        <w:t xml:space="preserve">7.2 Suggested batching for Phase 2B</w:t>
      </w:r>
    </w:p>
    <w:p>
      <w:pPr>
        <w:pStyle w:val="ListParagraph"/>
        <w:numPr>
          <w:ilvl w:val="0"/>
          <w:numId w:val="2"/>
        </w:numPr>
        <w:spacing w:after="40" w:before="40"/>
      </w:pPr>
      <w:r>
        <w:rPr>
          <w:rFonts w:ascii="Arial" w:cs="Arial" w:eastAsia="Arial" w:hAnsi="Arial"/>
          <w:b w:val="false"/>
          <w:bCs w:val="false"/>
          <w:color w:val="000000"/>
          <w:sz w:val="22"/>
          <w:szCs w:val="22"/>
        </w:rPr>
        <w:t xml:space="preserve">Batch 1 (v10.286): Analytics Hub Credit Workbench + Scheduled Reports (2 standards). Lighter open.</w:t>
      </w:r>
    </w:p>
    <w:p>
      <w:pPr>
        <w:pStyle w:val="ListParagraph"/>
        <w:numPr>
          <w:ilvl w:val="0"/>
          <w:numId w:val="2"/>
        </w:numPr>
        <w:spacing w:after="40" w:before="40"/>
      </w:pPr>
      <w:r>
        <w:rPr>
          <w:rFonts w:ascii="Arial" w:cs="Arial" w:eastAsia="Arial" w:hAnsi="Arial"/>
          <w:b w:val="false"/>
          <w:bCs w:val="false"/>
          <w:color w:val="000000"/>
          <w:sz w:val="22"/>
          <w:szCs w:val="22"/>
        </w:rPr>
        <w:t xml:space="preserve">Batch 2 (v10.287): Analytics Hub NLQ + Anomaly Detection + Data Export (3 standards). Closes Analytics Hub extensions.</w:t>
      </w:r>
    </w:p>
    <w:p>
      <w:pPr>
        <w:pStyle w:val="ListParagraph"/>
        <w:numPr>
          <w:ilvl w:val="0"/>
          <w:numId w:val="2"/>
        </w:numPr>
        <w:spacing w:after="40" w:before="40"/>
      </w:pPr>
      <w:r>
        <w:rPr>
          <w:rFonts w:ascii="Arial" w:cs="Arial" w:eastAsia="Arial" w:hAnsi="Arial"/>
          <w:b w:val="false"/>
          <w:bCs w:val="false"/>
          <w:color w:val="000000"/>
          <w:sz w:val="22"/>
          <w:szCs w:val="22"/>
        </w:rPr>
        <w:t xml:space="preserve">Batch 3 (v10.288): Compliance Dashboard standalone cockpit (1 standard, #200). Surfaces existing engines.</w:t>
      </w:r>
    </w:p>
    <w:p>
      <w:pPr>
        <w:pStyle w:val="ListParagraph"/>
        <w:numPr>
          <w:ilvl w:val="0"/>
          <w:numId w:val="2"/>
        </w:numPr>
        <w:spacing w:after="40" w:before="40"/>
      </w:pPr>
      <w:r>
        <w:rPr>
          <w:rFonts w:ascii="Arial" w:cs="Arial" w:eastAsia="Arial" w:hAnsi="Arial"/>
          <w:b w:val="false"/>
          <w:bCs w:val="false"/>
          <w:color w:val="000000"/>
          <w:sz w:val="22"/>
          <w:szCs w:val="22"/>
        </w:rPr>
        <w:t xml:space="preserve">Batch 4 (v10.289): Trade Finance Mobile App (#279). Lone-standard cluster mirroring SWIFT's v10.283 pattern.</w:t>
      </w:r>
    </w:p>
    <w:p>
      <w:pPr>
        <w:pStyle w:val="ListParagraph"/>
        <w:numPr>
          <w:ilvl w:val="0"/>
          <w:numId w:val="2"/>
        </w:numPr>
        <w:spacing w:after="40" w:before="40"/>
      </w:pPr>
      <w:r>
        <w:rPr>
          <w:rFonts w:ascii="Arial" w:cs="Arial" w:eastAsia="Arial" w:hAnsi="Arial"/>
          <w:b w:val="false"/>
          <w:bCs w:val="false"/>
          <w:color w:val="000000"/>
          <w:sz w:val="22"/>
          <w:szCs w:val="22"/>
        </w:rPr>
        <w:t xml:space="preserve">Batch 5–8 (v10.290–v10.293): CIMS arc, four batches of 3-4 standards each. The arc is too large for a single closure.</w:t>
      </w:r>
    </w:p>
    <w:p>
      <w:pPr>
        <w:pStyle w:val="ListParagraph"/>
        <w:numPr>
          <w:ilvl w:val="0"/>
          <w:numId w:val="2"/>
        </w:numPr>
        <w:spacing w:after="40" w:before="40"/>
      </w:pPr>
      <w:r>
        <w:rPr>
          <w:rFonts w:ascii="Arial" w:cs="Arial" w:eastAsia="Arial" w:hAnsi="Arial"/>
          <w:b w:val="false"/>
          <w:bCs w:val="false"/>
          <w:color w:val="000000"/>
          <w:sz w:val="22"/>
          <w:szCs w:val="22"/>
        </w:rPr>
        <w:t xml:space="preserve">Backfill batches interspersed: one trade-finance backfill, one credit-arc backfill, one treasury-arc backfill — each at v10.291.x or v10.292.x naming.</w:t>
      </w:r>
    </w:p>
    <w:p>
      <w:pPr>
        <w:pStyle w:val="Heading3"/>
        <w:spacing w:after="100" w:before="200"/>
      </w:pPr>
      <w:r>
        <w:rPr>
          <w:rFonts w:ascii="Arial" w:cs="Arial" w:eastAsia="Arial" w:hAnsi="Arial"/>
          <w:b/>
          <w:bCs/>
          <w:color w:val="44546A"/>
          <w:sz w:val="24"/>
          <w:szCs w:val="24"/>
        </w:rPr>
        <w:t xml:space="preserve">7.3 Phase 2B exit criteria</w:t>
      </w:r>
    </w:p>
    <w:p>
      <w:pPr>
        <w:pStyle w:val="ListParagraph"/>
        <w:numPr>
          <w:ilvl w:val="0"/>
          <w:numId w:val="2"/>
        </w:numPr>
        <w:spacing w:after="40" w:before="40"/>
      </w:pPr>
      <w:r>
        <w:rPr>
          <w:rFonts w:ascii="Arial" w:cs="Arial" w:eastAsia="Arial" w:hAnsi="Arial"/>
          <w:b w:val="false"/>
          <w:bCs w:val="false"/>
          <w:color w:val="000000"/>
          <w:sz w:val="22"/>
          <w:szCs w:val="22"/>
        </w:rPr>
        <w:t xml:space="preserve">All 22 planned standards active.</w:t>
      </w:r>
    </w:p>
    <w:p>
      <w:pPr>
        <w:pStyle w:val="ListParagraph"/>
        <w:numPr>
          <w:ilvl w:val="0"/>
          <w:numId w:val="2"/>
        </w:numPr>
        <w:spacing w:after="40" w:before="40"/>
      </w:pPr>
      <w:r>
        <w:rPr>
          <w:rFonts w:ascii="Arial" w:cs="Arial" w:eastAsia="Arial" w:hAnsi="Arial"/>
          <w:b w:val="false"/>
          <w:bCs w:val="false"/>
          <w:color w:val="000000"/>
          <w:sz w:val="22"/>
          <w:szCs w:val="22"/>
        </w:rPr>
        <w:t xml:space="preserve">Audit gates ≥190 (current 177 + ~13 from new batches and backfills).</w:t>
      </w:r>
    </w:p>
    <w:p>
      <w:pPr>
        <w:pStyle w:val="ListParagraph"/>
        <w:numPr>
          <w:ilvl w:val="0"/>
          <w:numId w:val="2"/>
        </w:numPr>
        <w:spacing w:after="40" w:before="40"/>
      </w:pPr>
      <w:r>
        <w:rPr>
          <w:rFonts w:ascii="Arial" w:cs="Arial" w:eastAsia="Arial" w:hAnsi="Arial"/>
          <w:b w:val="false"/>
          <w:bCs w:val="false"/>
          <w:color w:val="000000"/>
          <w:sz w:val="22"/>
          <w:szCs w:val="22"/>
        </w:rPr>
        <w:t xml:space="preserve">Zero hotfix batches for the duration. G177 prevents recurrence of the v10.284 class; further gate categories should prevent runtime page-load and data-shape regression classes.</w:t>
      </w:r>
    </w:p>
    <w:p>
      <w:pPr>
        <w:pStyle w:val="ListParagraph"/>
        <w:numPr>
          <w:ilvl w:val="0"/>
          <w:numId w:val="2"/>
        </w:numPr>
        <w:spacing w:after="40" w:before="40"/>
      </w:pPr>
      <w:r>
        <w:rPr>
          <w:rFonts w:ascii="Arial" w:cs="Arial" w:eastAsia="Arial" w:hAnsi="Arial"/>
          <w:b w:val="false"/>
          <w:bCs w:val="false"/>
          <w:color w:val="000000"/>
          <w:sz w:val="22"/>
          <w:szCs w:val="22"/>
        </w:rPr>
        <w:t xml:space="preserve">PG migration complete (52/52 tables) — separate infrastructure track, but should land in Phase 2B window.</w:t>
      </w:r>
    </w:p>
    <w:p>
      <w:r>
        <w:br w:type="page"/>
      </w:r>
    </w:p>
    <w:p>
      <w:pPr>
        <w:pStyle w:val="Heading1"/>
        <w:spacing w:after="160" w:before="320"/>
      </w:pPr>
      <w:r>
        <w:rPr>
          <w:rFonts w:ascii="Arial" w:cs="Arial" w:eastAsia="Arial" w:hAnsi="Arial"/>
          <w:b/>
          <w:bCs/>
          <w:color w:val="1F3864"/>
          <w:sz w:val="32"/>
          <w:szCs w:val="32"/>
        </w:rPr>
        <w:t xml:space="preserve">8. Recommendations and action items</w:t>
      </w:r>
    </w:p>
    <w:p>
      <w:pPr>
        <w:pBdr>
          <w:bottom w:val="single" w:color="2E75B6" w:sz="8" w:space="1"/>
        </w:pBdr>
        <w:spacing w:after="80" w:before="80"/>
      </w:pPr>
      <w:r>
        <w:t xml:space="preserve"/>
      </w:r>
    </w:p>
    <w:p>
      <w:pPr>
        <w:spacing w:after="60" w:before="60"/>
        <w:jc w:val="left"/>
      </w:pPr>
      <w:r>
        <w:rPr>
          <w:rFonts w:ascii="Arial" w:cs="Arial" w:eastAsia="Arial" w:hAnsi="Arial"/>
          <w:b w:val="false"/>
          <w:bCs w:val="false"/>
          <w:color w:val="000000"/>
          <w:sz w:val="22"/>
          <w:szCs w:val="22"/>
        </w:rPr>
        <w:t xml:space="preserve">Concrete, ordered, with named owners (default: Joshua unless otherwise noted).</w:t>
      </w:r>
    </w:p>
    <w:p>
      <w:pPr>
        <w:pStyle w:val="Heading3"/>
        <w:spacing w:after="100" w:before="200"/>
      </w:pPr>
      <w:r>
        <w:rPr>
          <w:rFonts w:ascii="Arial" w:cs="Arial" w:eastAsia="Arial" w:hAnsi="Arial"/>
          <w:b/>
          <w:bCs/>
          <w:color w:val="44546A"/>
          <w:sz w:val="24"/>
          <w:szCs w:val="24"/>
        </w:rPr>
        <w:t xml:space="preserve">8.1 Immediate (this week)</w:t>
      </w:r>
    </w:p>
    <w:p>
      <w:pPr>
        <w:pStyle w:val="ListParagraph"/>
        <w:numPr>
          <w:ilvl w:val="0"/>
          <w:numId w:val="2"/>
        </w:numPr>
        <w:spacing w:after="40" w:before="40"/>
      </w:pPr>
      <w:r>
        <w:rPr>
          <w:rFonts w:ascii="Arial" w:cs="Arial" w:eastAsia="Arial" w:hAnsi="Arial"/>
          <w:b w:val="false"/>
          <w:bCs w:val="false"/>
          <w:color w:val="000000"/>
          <w:sz w:val="22"/>
          <w:szCs w:val="22"/>
        </w:rPr>
        <w:t xml:space="preserve">Apply v10.284 runtime hotfix to runtime tree. Confirm pages 94/95/96/97/99 load. Joshua.</w:t>
      </w:r>
    </w:p>
    <w:p>
      <w:pPr>
        <w:pStyle w:val="ListParagraph"/>
        <w:numPr>
          <w:ilvl w:val="0"/>
          <w:numId w:val="2"/>
        </w:numPr>
        <w:spacing w:after="40" w:before="40"/>
      </w:pPr>
      <w:r>
        <w:rPr>
          <w:rFonts w:ascii="Arial" w:cs="Arial" w:eastAsia="Arial" w:hAnsi="Arial"/>
          <w:b w:val="false"/>
          <w:bCs w:val="false"/>
          <w:color w:val="000000"/>
          <w:sz w:val="22"/>
          <w:szCs w:val="22"/>
        </w:rPr>
        <w:t xml:space="preserve">Re-extract a2z_v10.275_customer_behavioral_pt1_cluster.zip over runtime tree to restore interaction_capture and 6 sibling modules. Joshua.</w:t>
      </w:r>
    </w:p>
    <w:p>
      <w:pPr>
        <w:pStyle w:val="ListParagraph"/>
        <w:numPr>
          <w:ilvl w:val="0"/>
          <w:numId w:val="2"/>
        </w:numPr>
        <w:spacing w:after="40" w:before="40"/>
      </w:pPr>
      <w:r>
        <w:rPr>
          <w:rFonts w:ascii="Arial" w:cs="Arial" w:eastAsia="Arial" w:hAnsi="Arial"/>
          <w:b w:val="false"/>
          <w:bCs w:val="false"/>
          <w:color w:val="000000"/>
          <w:sz w:val="22"/>
          <w:szCs w:val="22"/>
        </w:rPr>
        <w:t xml:space="preserve">Update master prompt with Section 5 changes from this document. Joshua.</w:t>
      </w:r>
    </w:p>
    <w:p>
      <w:pPr>
        <w:pStyle w:val="ListParagraph"/>
        <w:numPr>
          <w:ilvl w:val="0"/>
          <w:numId w:val="2"/>
        </w:numPr>
        <w:spacing w:after="40" w:before="40"/>
      </w:pPr>
      <w:r>
        <w:rPr>
          <w:rFonts w:ascii="Arial" w:cs="Arial" w:eastAsia="Arial" w:hAnsi="Arial"/>
          <w:b w:val="false"/>
          <w:bCs w:val="false"/>
          <w:color w:val="000000"/>
          <w:sz w:val="22"/>
          <w:szCs w:val="22"/>
        </w:rPr>
        <w:t xml:space="preserve">Migrate legacy data/campaigns.json (50 records) into the campaign_id/state schema. One-off data task.</w:t>
      </w:r>
    </w:p>
    <w:p>
      <w:pPr>
        <w:pStyle w:val="Heading3"/>
        <w:spacing w:after="100" w:before="200"/>
      </w:pPr>
      <w:r>
        <w:rPr>
          <w:rFonts w:ascii="Arial" w:cs="Arial" w:eastAsia="Arial" w:hAnsi="Arial"/>
          <w:b/>
          <w:bCs/>
          <w:color w:val="44546A"/>
          <w:sz w:val="24"/>
          <w:szCs w:val="24"/>
        </w:rPr>
        <w:t xml:space="preserve">8.2 Short-term (within v10.286 batch)</w:t>
      </w:r>
    </w:p>
    <w:p>
      <w:pPr>
        <w:pStyle w:val="ListParagraph"/>
        <w:numPr>
          <w:ilvl w:val="0"/>
          <w:numId w:val="2"/>
        </w:numPr>
        <w:spacing w:after="40" w:before="40"/>
      </w:pPr>
      <w:r>
        <w:rPr>
          <w:rFonts w:ascii="Arial" w:cs="Arial" w:eastAsia="Arial" w:hAnsi="Arial"/>
          <w:b w:val="false"/>
          <w:bCs w:val="false"/>
          <w:color w:val="000000"/>
          <w:sz w:val="22"/>
          <w:szCs w:val="22"/>
        </w:rPr>
        <w:t xml:space="preserve">Add a runtime page-load gate (G178?): at audit time, instantiate every page module and confirm it imports and runs through to the first st.* call without exception. Closes another bug class.</w:t>
      </w:r>
    </w:p>
    <w:p>
      <w:pPr>
        <w:pStyle w:val="ListParagraph"/>
        <w:numPr>
          <w:ilvl w:val="0"/>
          <w:numId w:val="2"/>
        </w:numPr>
        <w:spacing w:after="40" w:before="40"/>
      </w:pPr>
      <w:r>
        <w:rPr>
          <w:rFonts w:ascii="Arial" w:cs="Arial" w:eastAsia="Arial" w:hAnsi="Arial"/>
          <w:b w:val="false"/>
          <w:bCs w:val="false"/>
          <w:color w:val="000000"/>
          <w:sz w:val="22"/>
          <w:szCs w:val="22"/>
        </w:rPr>
        <w:t xml:space="preserve">Add a manifest-vs-disk gate that exercises every entry's module_path through check_access_dotted with a synthetic admin user.</w:t>
      </w:r>
    </w:p>
    <w:p>
      <w:pPr>
        <w:pStyle w:val="ListParagraph"/>
        <w:numPr>
          <w:ilvl w:val="0"/>
          <w:numId w:val="2"/>
        </w:numPr>
        <w:spacing w:after="40" w:before="40"/>
      </w:pPr>
      <w:r>
        <w:rPr>
          <w:rFonts w:ascii="Arial" w:cs="Arial" w:eastAsia="Arial" w:hAnsi="Arial"/>
          <w:b w:val="false"/>
          <w:bCs w:val="false"/>
          <w:color w:val="000000"/>
          <w:sz w:val="22"/>
          <w:szCs w:val="22"/>
        </w:rPr>
        <w:t xml:space="preserve">Establish per-batch memory cadence — update userMemories at every cluster closure, not just at end-of-phase.</w:t>
      </w:r>
    </w:p>
    <w:p>
      <w:pPr>
        <w:pStyle w:val="Heading3"/>
        <w:spacing w:after="100" w:before="200"/>
      </w:pPr>
      <w:r>
        <w:rPr>
          <w:rFonts w:ascii="Arial" w:cs="Arial" w:eastAsia="Arial" w:hAnsi="Arial"/>
          <w:b/>
          <w:bCs/>
          <w:color w:val="44546A"/>
          <w:sz w:val="24"/>
          <w:szCs w:val="24"/>
        </w:rPr>
        <w:t xml:space="preserve">8.3 Phase 2B planning (within next two weeks)</w:t>
      </w:r>
    </w:p>
    <w:p>
      <w:pPr>
        <w:pStyle w:val="ListParagraph"/>
        <w:numPr>
          <w:ilvl w:val="0"/>
          <w:numId w:val="2"/>
        </w:numPr>
        <w:spacing w:after="40" w:before="40"/>
      </w:pPr>
      <w:r>
        <w:rPr>
          <w:rFonts w:ascii="Arial" w:cs="Arial" w:eastAsia="Arial" w:hAnsi="Arial"/>
          <w:b w:val="false"/>
          <w:bCs w:val="false"/>
          <w:color w:val="000000"/>
          <w:sz w:val="22"/>
          <w:szCs w:val="22"/>
        </w:rPr>
        <w:t xml:space="preserve">Review the 22 remaining planned standards against current business priorities. Some may have been overtaken by external developments and need re-scoping.</w:t>
      </w:r>
    </w:p>
    <w:p>
      <w:pPr>
        <w:pStyle w:val="ListParagraph"/>
        <w:numPr>
          <w:ilvl w:val="0"/>
          <w:numId w:val="2"/>
        </w:numPr>
        <w:spacing w:after="40" w:before="40"/>
      </w:pPr>
      <w:r>
        <w:rPr>
          <w:rFonts w:ascii="Arial" w:cs="Arial" w:eastAsia="Arial" w:hAnsi="Arial"/>
          <w:b w:val="false"/>
          <w:bCs w:val="false"/>
          <w:color w:val="000000"/>
          <w:sz w:val="22"/>
          <w:szCs w:val="22"/>
        </w:rPr>
        <w:t xml:space="preserve">Schedule the four backfill batches (trade finance pt2, credit, treasury, resource opt) into the Phase 2B queue alongside the new-standard batches.</w:t>
      </w:r>
    </w:p>
    <w:p>
      <w:pPr>
        <w:pStyle w:val="ListParagraph"/>
        <w:numPr>
          <w:ilvl w:val="0"/>
          <w:numId w:val="2"/>
        </w:numPr>
        <w:spacing w:after="40" w:before="40"/>
      </w:pPr>
      <w:r>
        <w:rPr>
          <w:rFonts w:ascii="Arial" w:cs="Arial" w:eastAsia="Arial" w:hAnsi="Arial"/>
          <w:b w:val="false"/>
          <w:bCs w:val="false"/>
          <w:color w:val="000000"/>
          <w:sz w:val="22"/>
          <w:szCs w:val="22"/>
        </w:rPr>
        <w:t xml:space="preserve">Confirm with Joshua's leadership at Ecobank whether the QA Map document (v10.284 deliverable) is still on track for its planned panel session, and whether any additional pre-meeting prep is needed.</w:t>
      </w:r>
    </w:p>
    <w:p>
      <w:pPr>
        <w:pStyle w:val="Heading3"/>
        <w:spacing w:after="100" w:before="200"/>
      </w:pPr>
      <w:r>
        <w:rPr>
          <w:rFonts w:ascii="Arial" w:cs="Arial" w:eastAsia="Arial" w:hAnsi="Arial"/>
          <w:b/>
          <w:bCs/>
          <w:color w:val="44546A"/>
          <w:sz w:val="24"/>
          <w:szCs w:val="24"/>
        </w:rPr>
        <w:t xml:space="preserve">8.4 Reflection — for Joshua specifically</w:t>
      </w:r>
    </w:p>
    <w:p>
      <w:pPr>
        <w:spacing w:after="60" w:before="60"/>
        <w:jc w:val="left"/>
      </w:pPr>
      <w:r>
        <w:rPr>
          <w:rFonts w:ascii="Arial" w:cs="Arial" w:eastAsia="Arial" w:hAnsi="Arial"/>
          <w:b w:val="false"/>
          <w:bCs w:val="false"/>
          <w:color w:val="000000"/>
          <w:sz w:val="22"/>
          <w:szCs w:val="22"/>
        </w:rPr>
        <w:t xml:space="preserve">Phase 2A took ~6 weeks of high-throughput cluster work. The pace was sustainable because the audit gates absorbed most of the integrity burden. The risk in carrying that pace into Phase 2B is the gradual loss of pattern memory — which directly produced the v10.284 hotfix issues.</w:t>
      </w:r>
    </w:p>
    <w:p>
      <w:pPr>
        <w:spacing w:after="60" w:before="60"/>
        <w:jc w:val="left"/>
      </w:pPr>
      <w:r>
        <w:rPr>
          <w:rFonts w:ascii="Arial" w:cs="Arial" w:eastAsia="Arial" w:hAnsi="Arial"/>
          <w:b w:val="false"/>
          <w:bCs w:val="false"/>
          <w:color w:val="000000"/>
          <w:sz w:val="22"/>
          <w:szCs w:val="22"/>
        </w:rPr>
        <w:t xml:space="preserve">The single highest-value change is the per-batch memory update (Section 5.7). It costs maybe 2 minutes per batch and pays back many hours when the next batch starts with the right canonical patterns in scope. Make this non-negotiable in Phase 2B.</w:t>
      </w:r>
    </w:p>
    <w:p>
      <w:pPr>
        <w:spacing w:after="60" w:before="60"/>
        <w:jc w:val="left"/>
      </w:pPr>
      <w:r>
        <w:rPr>
          <w:rFonts w:ascii="Arial" w:cs="Arial" w:eastAsia="Arial" w:hAnsi="Arial"/>
          <w:b w:val="false"/>
          <w:bCs w:val="false"/>
          <w:color w:val="000000"/>
          <w:sz w:val="22"/>
          <w:szCs w:val="22"/>
        </w:rPr>
        <w:t xml:space="preserve">Beyond that: Phase 2A is a strong piece of work. 16 cluster closures, 308 active standards, 177 audit gates, full deterministic accounting on the regulatory-token ratchet, and a runtime hotfix that is itself a clean piece of work (G177 closes the bug class, not just the symptom). The Ecobank engagement is well-supported by what has been built.</w:t>
      </w:r>
    </w:p>
    <w:p>
      <w:pPr>
        <w:pBdr>
          <w:bottom w:val="single" w:color="2E75B6" w:sz="8" w:space="1"/>
        </w:pBdr>
        <w:spacing w:after="80" w:before="80"/>
      </w:pPr>
      <w:r>
        <w:t xml:space="preserve"/>
      </w:r>
    </w:p>
    <w:p>
      <w:pPr>
        <w:spacing w:after="60" w:before="60"/>
        <w:jc w:val="left"/>
      </w:pPr>
      <w:r>
        <w:rPr>
          <w:rFonts w:ascii="Arial" w:cs="Arial" w:eastAsia="Arial" w:hAnsi="Arial"/>
          <w:b w:val="false"/>
          <w:bCs w:val="false"/>
          <w:color w:val="44546A"/>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44546A"/>
        <w:sz w:val="18"/>
        <w:szCs w:val="18"/>
      </w:rPr>
      <w:t xml:space="preserve">Page </w:t>
    </w:r>
    <w:r>
      <w:rPr>
        <w:rFonts w:ascii="Arial" w:cs="Arial" w:eastAsia="Arial" w:hAnsi="Arial"/>
        <w:color w:val="44546A"/>
        <w:sz w:val="18"/>
        <w:szCs w:val="18"/>
      </w:rPr>
      <w:fldChar w:fldCharType="begin"/>
      <w:instrText xml:space="preserve">PAGE</w:instrText>
      <w:fldChar w:fldCharType="separate"/>
      <w:fldChar w:fldCharType="end"/>
    </w:r>
    <w:r>
      <w:rPr>
        <w:rFonts w:ascii="Arial" w:cs="Arial" w:eastAsia="Arial" w:hAnsi="Arial"/>
        <w:color w:val="44546A"/>
        <w:sz w:val="18"/>
        <w:szCs w:val="18"/>
      </w:rPr>
      <w:t xml:space="preserve"> of </w:t>
    </w:r>
    <w:r>
      <w:rPr>
        <w:rFonts w:ascii="Arial" w:cs="Arial" w:eastAsia="Arial" w:hAnsi="Arial"/>
        <w:color w:val="4454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before="0"/>
      <w:jc w:val="right"/>
    </w:pPr>
    <w:r>
      <w:rPr>
        <w:rFonts w:ascii="Arial" w:cs="Arial" w:eastAsia="Arial" w:hAnsi="Arial"/>
        <w:color w:val="44546A"/>
        <w:sz w:val="18"/>
        <w:szCs w:val="18"/>
      </w:rPr>
      <w:t xml:space="preserve">A2Z MIS 360 · Phase 2A Retrospective · v10.285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A2Z MIS 360 — Phase 2A Retrospective</dc:title>
  <dc:creator>Joshua Mokua</dc:creator>
  <dc:description>Phase 2A retrospective: what was built, what nearly broke, what comes next (v10.285)</dc:description>
  <cp:lastModifiedBy>Un-named</cp:lastModifiedBy>
  <cp:revision>1</cp:revision>
  <dcterms:created xsi:type="dcterms:W3CDTF">2026-05-08T05:27:53.715Z</dcterms:created>
  <dcterms:modified xsi:type="dcterms:W3CDTF">2026-05-08T05:27:53.728Z</dcterms:modified>
</cp:coreProperties>
</file>

<file path=docProps/custom.xml><?xml version="1.0" encoding="utf-8"?>
<Properties xmlns="http://schemas.openxmlformats.org/officeDocument/2006/custom-properties" xmlns:vt="http://schemas.openxmlformats.org/officeDocument/2006/docPropsVTypes"/>
</file>