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9" w:name="content"/>
    <w:bookmarkStart w:id="78" w:name="Xdb391136ee52a99d3f5789794d5e90dcd421a72"/>
    <w:p>
      <w:pPr>
        <w:pStyle w:val="Heading1"/>
      </w:pPr>
      <w:r>
        <w:t xml:space="preserve">Drift-Aware Label Creation and Monitoring Plan for SAR Marine Plastic Detection</w:t>
      </w:r>
    </w:p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proposes a practical, drift-aware plan to create reliable</w:t>
      </w:r>
      <w:r>
        <w:t xml:space="preserve"> </w:t>
      </w:r>
      <w:r>
        <w:rPr>
          <w:b/>
          <w:bCs/>
        </w:rPr>
        <w:t xml:space="preserve">Sentinel-1 SAR labels</w:t>
      </w:r>
      <w:r>
        <w:t xml:space="preserve"> </w:t>
      </w:r>
      <w:r>
        <w:t xml:space="preserve">by transferring</w:t>
      </w:r>
      <w:r>
        <w:t xml:space="preserve"> </w:t>
      </w:r>
      <w:r>
        <w:rPr>
          <w:b/>
          <w:bCs/>
        </w:rPr>
        <w:t xml:space="preserve">optical detections</w:t>
      </w:r>
      <w:r>
        <w:t xml:space="preserve"> </w:t>
      </w:r>
      <w:r>
        <w:t xml:space="preserve">(Sentinel-2 / Planet-class) across a time gap using a</w:t>
      </w:r>
      <w:r>
        <w:t xml:space="preserve"> </w:t>
      </w:r>
      <w:r>
        <w:rPr>
          <w:b/>
          <w:bCs/>
        </w:rPr>
        <w:t xml:space="preserve">physical drift (transport) model</w:t>
      </w:r>
      <w:r>
        <w:t xml:space="preserve"> </w:t>
      </w:r>
      <w:r>
        <w:t xml:space="preserve">with uncertainty, then converting the resulting search region into SAR annotations via a combination of</w:t>
      </w:r>
      <w:r>
        <w:t xml:space="preserve"> </w:t>
      </w:r>
      <w:r>
        <w:rPr>
          <w:b/>
          <w:bCs/>
        </w:rPr>
        <w:t xml:space="preserve">cross-modal matching</w:t>
      </w:r>
      <w:r>
        <w:t xml:space="preserve">,</w:t>
      </w:r>
      <w:r>
        <w:t xml:space="preserve"> </w:t>
      </w:r>
      <w:r>
        <w:rPr>
          <w:b/>
          <w:bCs/>
        </w:rPr>
        <w:t xml:space="preserve">weak supervision</w:t>
      </w:r>
      <w:r>
        <w:t xml:space="preserve">, and</w:t>
      </w:r>
      <w:r>
        <w:t xml:space="preserve"> </w:t>
      </w:r>
      <w:r>
        <w:rPr>
          <w:b/>
          <w:bCs/>
        </w:rPr>
        <w:t xml:space="preserve">human-in-the-loop review</w:t>
      </w:r>
      <w:r>
        <w:t xml:space="preserve">. The plan is grounded in the provided</w:t>
      </w:r>
      <w:r>
        <w:t xml:space="preserve"> </w:t>
      </w:r>
      <w:r>
        <w:rPr>
          <w:b/>
          <w:bCs/>
        </w:rPr>
        <w:t xml:space="preserve">research proposal (2025)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progress update (19 Feb 2026)</w:t>
      </w:r>
      <w:r>
        <w:t xml:space="preserve">, whose central constraint is the lack of directly usable SAR-labeled training data (notably due to issues accessing the MIREIA SAR label locations), despite having substantial optical-labeled evidence. (Proposal: Pretorius, 2025; Progress update: Pretorius, 2026)</w:t>
      </w:r>
    </w:p>
    <w:p>
      <w:pPr>
        <w:pStyle w:val="BodyText"/>
      </w:pPr>
      <w:r>
        <w:t xml:space="preserve">The technical core is a</w:t>
      </w:r>
      <w:r>
        <w:t xml:space="preserve"> </w:t>
      </w:r>
      <w:r>
        <w:rPr>
          <w:b/>
          <w:bCs/>
        </w:rPr>
        <w:t xml:space="preserve">Lagrangian particle ensemble drift engine</w:t>
      </w:r>
      <w:r>
        <w:t xml:space="preserve"> </w:t>
      </w:r>
      <w:r>
        <w:t xml:space="preserve">(recommended: OpenDrift</w:t>
      </w:r>
      <w:hyperlink r:id="rId21">
        <w:r>
          <w:rPr>
            <w:rStyle w:val="Hyperlink"/>
          </w:rPr>
          <w:t xml:space="preserve">[1]</w:t>
        </w:r>
      </w:hyperlink>
      <w:r>
        <w:t xml:space="preserve">) that uses gridded surface currents and winds (e.g., Copernicus Marine Service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products) to propagate debris-patch locations from optical timestamp</w:t>
      </w:r>
      <w:r>
        <w:t xml:space="preserve"> </w:t>
      </w:r>
      <w:r>
        <w:rPr>
          <w:i/>
          <w:iCs/>
        </w:rPr>
        <w:t xml:space="preserve">t0</w:t>
      </w:r>
      <w:r>
        <w:t xml:space="preserve"> </w:t>
      </w:r>
      <w:r>
        <w:t xml:space="preserve">to SAR timestamp</w:t>
      </w:r>
      <w:r>
        <w:t xml:space="preserve"> </w:t>
      </w:r>
      <w:r>
        <w:rPr>
          <w:i/>
          <w:iCs/>
        </w:rPr>
        <w:t xml:space="preserve">t1</w:t>
      </w:r>
      <w:r>
        <w:t xml:space="preserve">, producing either (a) an uncertainty ellipse / bounding box or (b) a probability raster overlay to guide SAR label creation.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In parallel, this report specifies an ML “drift” monitoring track in the</w:t>
      </w:r>
      <w:r>
        <w:t xml:space="preserve"> </w:t>
      </w:r>
      <w:r>
        <w:rPr>
          <w:b/>
          <w:bCs/>
        </w:rPr>
        <w:t xml:space="preserve">data/label/concept drift</w:t>
      </w:r>
      <w:r>
        <w:t xml:space="preserve"> </w:t>
      </w:r>
      <w:r>
        <w:t xml:space="preserve">sense: distributional changes in SAR inputs, predicted masks, and delayed ground-truth performance. This monitoring layer is recommended to be implemented with a combination of Alibi Detect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(image/time-series drift tests), River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(online drift detectors such as ADWIN/EDDM on scalar monitoring signals), and optionally NannyML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for performance estimation concepts where labels are delayed (noting it is primarily tabular-focused and likely requires adaptation for segmentation).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A staged implementation plan (weeks), resourcing estimates, risks/mitigations, and success criteria are provided, as well as comparison tables of candidate drift engines and labeling/monitoring toolchains. The recommended “best-bet” strategy is a</w:t>
      </w:r>
      <w:r>
        <w:t xml:space="preserve"> </w:t>
      </w:r>
      <w:r>
        <w:rPr>
          <w:b/>
          <w:bCs/>
        </w:rPr>
        <w:t xml:space="preserve">hybrid</w:t>
      </w:r>
      <w:r>
        <w:t xml:space="preserve">: (1) small, high-quality “anchor” labels from controlled/field observations, (2) scalable drift-aware optical→SAR transfer for volume, and (3) iterative improvement through active learning and label-quality audits.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bookmarkEnd w:id="28"/>
    <w:bookmarkStart w:id="45" w:name="X19377e99507be76d2625ab74a3926c93a8d556e"/>
    <w:p>
      <w:pPr>
        <w:pStyle w:val="Heading2"/>
      </w:pPr>
      <w:r>
        <w:t xml:space="preserve">Project context distilled from the proposal and progress update</w:t>
      </w:r>
    </w:p>
    <w:p>
      <w:pPr>
        <w:pStyle w:val="FirstParagraph"/>
      </w:pPr>
      <w:r>
        <w:t xml:space="preserve">The proposal authored by Joshua Pretorius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under supervision of Bolelang Sibolla</w:t>
      </w:r>
      <w:hyperlink r:id="rId24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and Shelley Haupt</w:t>
      </w: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(at University of Pretoria</w:t>
      </w:r>
      <w:hyperlink r:id="rId2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and CSIR</w:t>
      </w:r>
      <w:hyperlink r:id="rId31">
        <w:r>
          <w:rPr>
            <w:rStyle w:val="Hyperlink"/>
          </w:rPr>
          <w:t xml:space="preserve">[13]</w:t>
        </w:r>
      </w:hyperlink>
      <w:r>
        <w:t xml:space="preserve">) targets a SAR-based pipeline to detect floating marine debris/plastics in the South African Exclusive Economic Zone</w:t>
      </w:r>
      <w:hyperlink r:id="rId32">
        <w:r>
          <w:rPr>
            <w:rStyle w:val="Hyperlink"/>
          </w:rPr>
          <w:t xml:space="preserve">[14]</w:t>
        </w:r>
      </w:hyperlink>
      <w:r>
        <w:t xml:space="preserve">, with study focus near Durban</w:t>
      </w:r>
      <w:hyperlink r:id="rId33">
        <w:r>
          <w:rPr>
            <w:rStyle w:val="Hyperlink"/>
          </w:rPr>
          <w:t xml:space="preserve">[15]</w:t>
        </w:r>
      </w:hyperlink>
      <w:r>
        <w:t xml:space="preserve">, Gqeberha</w:t>
      </w:r>
      <w:hyperlink r:id="rId26">
        <w:r>
          <w:rPr>
            <w:rStyle w:val="Hyperlink"/>
          </w:rPr>
          <w:t xml:space="preserve">[16]</w:t>
        </w:r>
      </w:hyperlink>
      <w:r>
        <w:t xml:space="preserve">, and Cape Town</w:t>
      </w:r>
      <w:hyperlink r:id="rId34">
        <w:r>
          <w:rPr>
            <w:rStyle w:val="Hyperlink"/>
          </w:rPr>
          <w:t xml:space="preserve">[17]</w:t>
        </w:r>
      </w:hyperlink>
      <w:r>
        <w:t xml:space="preserve">. (Proposal: Pretorius, 2025)</w:t>
      </w:r>
    </w:p>
    <w:bookmarkStart w:id="35" w:name="X55e781e228ee57515fb126fced59538a629edf3"/>
    <w:p>
      <w:pPr>
        <w:pStyle w:val="Heading3"/>
      </w:pPr>
      <w:r>
        <w:t xml:space="preserve">Label targets and definitions inferred from the documents</w:t>
      </w:r>
    </w:p>
    <w:p>
      <w:pPr>
        <w:pStyle w:val="FirstParagraph"/>
      </w:pPr>
      <w:r>
        <w:t xml:space="preserve">The intended ML task (as described in the proposal) is best interpreted as</w:t>
      </w:r>
      <w:r>
        <w:t xml:space="preserve"> </w:t>
      </w:r>
      <w:r>
        <w:rPr>
          <w:b/>
          <w:bCs/>
        </w:rPr>
        <w:t xml:space="preserve">semantic segmentation of “marine debris / plastic slick” vs “non-debris background”</w:t>
      </w:r>
      <w:r>
        <w:t xml:space="preserve"> </w:t>
      </w:r>
      <w:r>
        <w:t xml:space="preserve">in image patches, with optional extension to multi-class “confusers” (e.g., wakes, foam, algae) to reduce false positives. This interpretation aligns with the proposal’s emphasis on a U-Net segmentation architecture and on leveraging datasets such as MARIDA (which explicitly includes co-occurring sea features). (Proposal: Pretorius, 2025)</w:t>
      </w:r>
      <w:r>
        <w:t xml:space="preserve"> </w:t>
      </w:r>
      <w:hyperlink r:id="rId30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Because the progress update highlights the absence of “true positives for debris drift matching training” in the locally created dataset so far, the operational labeling problem becomes:</w:t>
      </w:r>
      <w:r>
        <w:t xml:space="preserve"> </w:t>
      </w:r>
      <w:r>
        <w:rPr>
          <w:b/>
          <w:bCs/>
        </w:rPr>
        <w:t xml:space="preserve">create sufficiently accurate SAR labels that can fine-tune a SAR segmentation model</w:t>
      </w:r>
      <w:r>
        <w:t xml:space="preserve">, while handling real ocean transport uncertainty across sensor time gaps. (Progress update: Pretorius, 2026)</w:t>
      </w:r>
    </w:p>
    <w:bookmarkEnd w:id="35"/>
    <w:bookmarkStart w:id="39" w:name="data-sources-and-planned-feature-stack"/>
    <w:p>
      <w:pPr>
        <w:pStyle w:val="Heading3"/>
      </w:pPr>
      <w:r>
        <w:t xml:space="preserve">Data sources and planned feature stack</w:t>
      </w:r>
    </w:p>
    <w:p>
      <w:pPr>
        <w:pStyle w:val="FirstParagraph"/>
      </w:pPr>
      <w:r>
        <w:t xml:space="preserve">The project’s sensor/data stack is stable and well supported by official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Sentinel-1 SAR (Level-1 SLC)</w:t>
      </w:r>
      <w:r>
        <w:t xml:space="preserve">, motivated by need for higher-fidelity SAR information (including phase-derived products such as coherence) and nominal IW-mode resolution on the order of</w:t>
      </w:r>
      <w:r>
        <w:t xml:space="preserve"> </w:t>
      </w:r>
      <w:r>
        <w:rPr>
          <w:b/>
          <w:bCs/>
        </w:rPr>
        <w:t xml:space="preserve">5 m × 20 m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Sentinel-2 MSI Level-2A</w:t>
      </w:r>
      <w:r>
        <w:t xml:space="preserve"> </w:t>
      </w:r>
      <w:r>
        <w:t xml:space="preserve">optical imagery (13 bands, 10–60 m, BOA reflectance) to establish an optical baseline and support cross-sensor label seeding.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Biophysical forcing</w:t>
      </w:r>
      <w:r>
        <w:t xml:space="preserve"> </w:t>
      </w:r>
      <w:r>
        <w:t xml:space="preserve">from Copernicus Marine: global physics analysis/forecast currents (1/12° class product) and hourly sea-surface wind fields (0.125° product).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</w:p>
    <w:p>
      <w:pPr>
        <w:pStyle w:val="FirstParagraph"/>
      </w:pPr>
      <w:r>
        <w:t xml:space="preserve">The proposal also specifies derived features such as SAR backscatter (VV/VH), texture measures, and polarimetric descriptors; plus optical indices such as the</w:t>
      </w:r>
      <w:r>
        <w:t xml:space="preserve"> </w:t>
      </w:r>
      <w:r>
        <w:rPr>
          <w:b/>
          <w:bCs/>
        </w:rPr>
        <w:t xml:space="preserve">Floating Debris Index (FDI)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Plastic Index (PI)</w:t>
      </w:r>
      <w:r>
        <w:t xml:space="preserve"> </w:t>
      </w:r>
      <w:r>
        <w:t xml:space="preserve">for optical identification/validation support.</w:t>
      </w:r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(Proposal: Pretorius, 2025)</w:t>
      </w:r>
    </w:p>
    <w:bookmarkEnd w:id="39"/>
    <w:bookmarkStart w:id="44" w:name="Xb0d4b592200770b7282226321ee76e1fc784aa7"/>
    <w:p>
      <w:pPr>
        <w:pStyle w:val="Heading3"/>
      </w:pPr>
      <w:r>
        <w:t xml:space="preserve">Current models, performance metrics, and known issues</w:t>
      </w:r>
    </w:p>
    <w:p>
      <w:pPr>
        <w:pStyle w:val="FirstParagraph"/>
      </w:pPr>
      <w:r>
        <w:rPr>
          <w:b/>
          <w:bCs/>
        </w:rPr>
        <w:t xml:space="preserve">Current model direction (from the documents):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U-Net family segmentation model</w:t>
      </w:r>
      <w:r>
        <w:t xml:space="preserve"> </w:t>
      </w:r>
      <w:r>
        <w:t xml:space="preserve">with a self-supervised pretraining strategy. (Proposal: Pretorius, 2025)</w:t>
      </w:r>
      <w:r>
        <w:br/>
      </w:r>
      <w:r>
        <w:t xml:space="preserve">- Incorporation of</w:t>
      </w:r>
      <w:r>
        <w:t xml:space="preserve"> </w:t>
      </w:r>
      <w:r>
        <w:rPr>
          <w:b/>
          <w:bCs/>
        </w:rPr>
        <w:t xml:space="preserve">attention gating</w:t>
      </w:r>
      <w:r>
        <w:t xml:space="preserve"> </w:t>
      </w:r>
      <w:r>
        <w:t xml:space="preserve">is explicitly considered (proposal), consistent with the established “Attention U-Net” approach.</w:t>
      </w:r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  <w:r>
        <w:br/>
      </w:r>
      <w:r>
        <w:t xml:space="preserve">- Self-supervised pretraining references SSL4EO-style multimodal corpora for Sentinel-1/2 representation learning, plus a second stage of domain-specific SSL on marine SAR scenes.</w:t>
      </w:r>
      <w:r>
        <w:t xml:space="preserve"> </w:t>
      </w: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(Proposal: Pretorius, 2025)</w:t>
      </w:r>
    </w:p>
    <w:p>
      <w:pPr>
        <w:pStyle w:val="BodyText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 The progress update proposes validating the drift model using</w:t>
      </w:r>
      <w:r>
        <w:t xml:space="preserve"> </w:t>
      </w:r>
      <w:r>
        <w:rPr>
          <w:b/>
          <w:bCs/>
        </w:rPr>
        <w:t xml:space="preserve">RMSE between predicted and detected patch locations</w:t>
      </w:r>
      <w:r>
        <w:t xml:space="preserve"> </w:t>
      </w:r>
      <w:r>
        <w:t xml:space="preserve">in optical imagery (where detection is more established). (Progress update: Pretorius, 2026)</w:t>
      </w:r>
      <w:r>
        <w:br/>
      </w:r>
      <w:r>
        <w:t xml:space="preserve">- The proposal does not lock down final segmentation metrics, but for semantic segmentation in remote sensing, standard practice is</w:t>
      </w:r>
      <w:r>
        <w:t xml:space="preserve"> </w:t>
      </w:r>
      <w:r>
        <w:rPr>
          <w:b/>
          <w:bCs/>
        </w:rPr>
        <w:t xml:space="preserve">IoU/mIoU, Dice/F1, precision/recall</w:t>
      </w:r>
      <w:r>
        <w:t xml:space="preserve">, plus calibration measures when probabilistic outputs are used (recommended in this report).</w:t>
      </w:r>
      <w:r>
        <w:t xml:space="preserve"> </w:t>
      </w:r>
      <w:hyperlink r:id="rId30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Known issues (critical):</w:t>
      </w:r>
      <w:r>
        <w:t xml:space="preserve"> </w:t>
      </w:r>
      <w:r>
        <w:t xml:space="preserve">- The progress update states the project “counted heavily” on MIREIA because it is the only dataset directly applicable to SAR labeling, but SAR labels “can’t be obtained,” creating a major bottleneck. (Progress update: Pretorius, 2026)</w:t>
      </w:r>
      <w:r>
        <w:t xml:space="preserve"> </w:t>
      </w:r>
      <w:hyperlink r:id="rId42">
        <w:r>
          <w:rPr>
            <w:rStyle w:val="Hyperlink"/>
          </w:rPr>
          <w:t xml:space="preserve">[26]</w:t>
        </w:r>
      </w:hyperlink>
      <w:r>
        <w:br/>
      </w:r>
      <w:r>
        <w:t xml:space="preserve">- Sentinel-1 constellation realities matter operationally: Sentinel-1B is end-of-mission, while Sentinel-1A remains operational and Sentinel-1C has entered operations (with occasional operational unavailability events).</w:t>
      </w:r>
      <w:r>
        <w:t xml:space="preserve"> </w:t>
      </w:r>
      <w:hyperlink r:id="rId43">
        <w:r>
          <w:rPr>
            <w:rStyle w:val="Hyperlink"/>
          </w:rPr>
          <w:t xml:space="preserve">[27]</w:t>
        </w:r>
      </w:hyperlink>
      <w:r>
        <w:br/>
      </w:r>
      <w:r>
        <w:t xml:space="preserve">- SAR SLC product sizes are large; typical IW SLC products are reported around ~8 GB/product in literature—relevant to storage and compute planning.</w:t>
      </w:r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</w:p>
    <w:bookmarkEnd w:id="44"/>
    <w:bookmarkEnd w:id="45"/>
    <w:bookmarkStart w:id="55" w:name="survey-of-relevant-methods-and-tooling"/>
    <w:p>
      <w:pPr>
        <w:pStyle w:val="Heading2"/>
      </w:pPr>
      <w:r>
        <w:t xml:space="preserve">Survey of relevant methods and tooling</w:t>
      </w:r>
    </w:p>
    <w:p>
      <w:pPr>
        <w:pStyle w:val="FirstParagraph"/>
      </w:pPr>
      <w:r>
        <w:t xml:space="preserve">This section separates two meanings of “drift” that must be handled simultaneously: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Transport drift (physical drift)</w:t>
      </w:r>
      <w:r>
        <w:t xml:space="preserve">: ocean advection/dispersion of debris patches used to transfer labels between sensors/times.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ML drift (data/concept/label drift)</w:t>
      </w:r>
      <w:r>
        <w:t xml:space="preserve">: distribution shifts that degrade model performance post-training.</w:t>
      </w:r>
    </w:p>
    <w:bookmarkStart w:id="49" w:name="X86bd8355b261949d5f90ac0bf3c571d029a323b"/>
    <w:p>
      <w:pPr>
        <w:pStyle w:val="Heading3"/>
      </w:pPr>
      <w:r>
        <w:t xml:space="preserve">Physical transport drift modeling for label transfer</w:t>
      </w:r>
    </w:p>
    <w:p>
      <w:pPr>
        <w:pStyle w:val="FirstParagraph"/>
      </w:pPr>
      <w:r>
        <w:t xml:space="preserve">A drift-aware label-transfer framework requires: (1) a motion model, (2) uncertainty quantification, and (3) interfaces to raster/geospatial outputs compatible with SAR patch extraction.</w:t>
      </w:r>
    </w:p>
    <w:p>
      <w:pPr>
        <w:pStyle w:val="BodyText"/>
      </w:pPr>
      <w:r>
        <w:rPr>
          <w:b/>
          <w:bCs/>
        </w:rPr>
        <w:t xml:space="preserve">Recommended core approach: Lagrangian particle ensembles.</w:t>
      </w:r>
      <w:r>
        <w:br/>
      </w:r>
      <w:r>
        <w:t xml:space="preserve">Deploy an ensemble of particles seeded from the optical label geometry at</w:t>
      </w:r>
      <w:r>
        <w:t xml:space="preserve"> </w:t>
      </w:r>
      <w:r>
        <w:rPr>
          <w:i/>
          <w:iCs/>
        </w:rPr>
        <w:t xml:space="preserve">t0</w:t>
      </w:r>
      <w:r>
        <w:t xml:space="preserve">, advected under currents plus windage, with diffusion to reflect unresolved turbulence and model error. OpenDrift is explicitly designed for trajectories and fate of drifting objects/substances, and is widely used/referenced as a generic trajectory framework.</w:t>
      </w:r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Alternative engines to keep in scope:</w:t>
      </w:r>
      <w:r>
        <w:t xml:space="preserve"> </w:t>
      </w:r>
      <w:r>
        <w:t xml:space="preserve">- Parcels</w:t>
      </w:r>
      <w:hyperlink r:id="rId34">
        <w:r>
          <w:rPr>
            <w:rStyle w:val="Hyperlink"/>
          </w:rPr>
          <w:t xml:space="preserve">[30]</w:t>
        </w:r>
      </w:hyperlink>
      <w:r>
        <w:t xml:space="preserve">: highly customizable Lagrangian simulation for particle tracking using gridded circulation outputs; strong academic adoption and flexibility for custom kernels (windage, beaching, etc.).</w:t>
      </w:r>
      <w:r>
        <w:t xml:space="preserve"> </w:t>
      </w:r>
      <w:hyperlink r:id="rId46">
        <w:r>
          <w:rPr>
            <w:rStyle w:val="Hyperlink"/>
          </w:rPr>
          <w:t xml:space="preserve">[31]</w:t>
        </w:r>
      </w:hyperlink>
      <w:r>
        <w:br/>
      </w:r>
      <w:r>
        <w:t xml:space="preserve">- NOAA GNOME</w:t>
      </w:r>
      <w:hyperlink r:id="rId26">
        <w:r>
          <w:rPr>
            <w:rStyle w:val="Hyperlink"/>
          </w:rPr>
          <w:t xml:space="preserve">[32]</w:t>
        </w:r>
      </w:hyperlink>
      <w:r>
        <w:t xml:space="preserve">: mature trajectory modeling environment historically for oil/chemicals, with robust technical documentation and GIS outputs; can be adapted conceptually for debris drift, but it is less “Python-native” than OpenDrift/Parcels for ML pipeline integration.</w:t>
      </w:r>
      <w:r>
        <w:t xml:space="preserve"> </w:t>
      </w:r>
      <w:hyperlink r:id="rId47">
        <w:r>
          <w:rPr>
            <w:rStyle w:val="Hyperlink"/>
          </w:rPr>
          <w:t xml:space="preserve">[33]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Operational/commercial benchmark inspiration</w:t>
      </w:r>
      <w:r>
        <w:t xml:space="preserve">: OPAT provides an “alert &amp; tracking” concept that forecasts drift over 24–48 hours using Copernicus Marine products, useful as a reference architecture even if not adoptable directly for research workflows.</w:t>
      </w:r>
      <w:r>
        <w:t xml:space="preserve"> </w:t>
      </w:r>
      <w:hyperlink r:id="rId48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Validation data options for transport drift:</w:t>
      </w:r>
      <w:r>
        <w:t xml:space="preserve"> </w:t>
      </w:r>
      <w:r>
        <w:t xml:space="preserve">- The NOAA Global Drifter Program</w:t>
      </w:r>
      <w:hyperlink r:id="rId29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provides access to large-scale drifter data streams and archives, valuable for plausibility checking of current/wind forcing and for calibrating dispersion/windage parameters.</w:t>
      </w:r>
      <w:r>
        <w:t xml:space="preserve"> </w:t>
      </w:r>
      <w:hyperlink r:id="rId25">
        <w:r>
          <w:rPr>
            <w:rStyle w:val="Hyperlink"/>
          </w:rPr>
          <w:t xml:space="preserve">[36]</w:t>
        </w:r>
      </w:hyperlink>
      <w:r>
        <w:br/>
      </w:r>
      <w:r>
        <w:t xml:space="preserve">- Recent marine-plastic drift work (e.g., DEEP-PLAST) demonstrates integrated detection + currents/winds drift prediction, reinforcing the relevance of coupling EO detections with environmental forcing, while also highlighting the importance of quantitative validation regimes.</w:t>
      </w:r>
      <w:r>
        <w:t xml:space="preserve"> </w:t>
      </w:r>
      <w:hyperlink r:id="rId33">
        <w:r>
          <w:rPr>
            <w:rStyle w:val="Hyperlink"/>
          </w:rPr>
          <w:t xml:space="preserve">[37]</w:t>
        </w:r>
      </w:hyperlink>
    </w:p>
    <w:bookmarkEnd w:id="49"/>
    <w:bookmarkStart w:id="53" w:name="X8b74bfd607c6f985bed2f25c4e6558f41f22a25"/>
    <w:p>
      <w:pPr>
        <w:pStyle w:val="Heading3"/>
      </w:pPr>
      <w:r>
        <w:t xml:space="preserve">ML drift detection and monitoring methods</w:t>
      </w:r>
    </w:p>
    <w:p>
      <w:pPr>
        <w:pStyle w:val="FirstParagraph"/>
      </w:pPr>
      <w:r>
        <w:t xml:space="preserve">In post-training monitoring, three drift families matter: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drift (covariate shift)</w:t>
      </w:r>
      <w:r>
        <w:t xml:space="preserve">: changes in input distributions (e.g., sea state regimes, incidence angles, geographic transfer).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Concept drift</w:t>
      </w:r>
      <w:r>
        <w:t xml:space="preserve">: changes in the mapping from input → label (e.g., new confusers, changing debris appearance).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 drift / label shift</w:t>
      </w:r>
      <w:r>
        <w:t xml:space="preserve">: changes in the class prior p(y) (e.g., seasonal debris frequency changes).</w:t>
      </w:r>
      <w:r>
        <w:t xml:space="preserve"> </w:t>
      </w:r>
      <w:hyperlink r:id="rId50">
        <w:r>
          <w:rPr>
            <w:rStyle w:val="Hyperlink"/>
          </w:rPr>
          <w:t xml:space="preserve">[38]</w:t>
        </w:r>
      </w:hyperlink>
    </w:p>
    <w:p>
      <w:pPr>
        <w:pStyle w:val="FirstParagraph"/>
      </w:pPr>
      <w:r>
        <w:t xml:space="preserve">Because the project’s outputs are</w:t>
      </w:r>
      <w:r>
        <w:t xml:space="preserve"> </w:t>
      </w:r>
      <w:r>
        <w:rPr>
          <w:b/>
          <w:bCs/>
        </w:rPr>
        <w:t xml:space="preserve">segmentation maps</w:t>
      </w:r>
      <w:r>
        <w:t xml:space="preserve"> </w:t>
      </w:r>
      <w:r>
        <w:t xml:space="preserve">(high-dimensional), the monitoring layer should combine:</w:t>
      </w:r>
      <w:r>
        <w:t xml:space="preserve"> </w:t>
      </w:r>
      <w:r>
        <w:t xml:space="preserve">1) tests on</w:t>
      </w:r>
      <w:r>
        <w:t xml:space="preserve"> </w:t>
      </w:r>
      <w:r>
        <w:rPr>
          <w:b/>
          <w:bCs/>
        </w:rPr>
        <w:t xml:space="preserve">low-dimensional summaries</w:t>
      </w:r>
      <w:r>
        <w:t xml:space="preserve"> </w:t>
      </w:r>
      <w:r>
        <w:t xml:space="preserve">(e.g., predicted debris fraction per scene), and</w:t>
      </w:r>
      <w:r>
        <w:br/>
      </w:r>
      <w:r>
        <w:t xml:space="preserve">2) tests on</w:t>
      </w:r>
      <w:r>
        <w:t xml:space="preserve"> </w:t>
      </w:r>
      <w:r>
        <w:rPr>
          <w:b/>
          <w:bCs/>
        </w:rPr>
        <w:t xml:space="preserve">feature embeddings</w:t>
      </w:r>
      <w:r>
        <w:t xml:space="preserve"> </w:t>
      </w:r>
      <w:r>
        <w:t xml:space="preserve">(e.g., SSL encoder features or penultimate-layer embeddings), which are more stable than raw pixels but sensitive to distribution changes.</w:t>
      </w:r>
    </w:p>
    <w:p>
      <w:pPr>
        <w:pStyle w:val="BodyText"/>
      </w:pPr>
      <w:r>
        <w:rPr>
          <w:b/>
          <w:bCs/>
        </w:rPr>
        <w:t xml:space="preserve">Key tools to operationalize drift monitoring (and what they are good at):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Alibi Detect</w:t>
      </w:r>
      <w:r>
        <w:t xml:space="preserve">: supports online/offline drift detectors for tabular, text, images, and time series; supports both TF and PyTorch backends; explicitly focused on drift/outlier detection.</w:t>
      </w:r>
      <w:r>
        <w:t xml:space="preserve"> </w:t>
      </w:r>
      <w:hyperlink r:id="rId26">
        <w:r>
          <w:rPr>
            <w:rStyle w:val="Hyperlink"/>
          </w:rPr>
          <w:t xml:space="preserve">[39]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River</w:t>
      </w:r>
      <w:r>
        <w:t xml:space="preserve">: provides streaming ML components including concept drift detectors (e.g., ADWIN, EDDM) suitable for scalar monitoring signals generated from the ML system.</w:t>
      </w:r>
      <w:r>
        <w:t xml:space="preserve"> </w:t>
      </w:r>
      <w:hyperlink r:id="rId51">
        <w:r>
          <w:rPr>
            <w:rStyle w:val="Hyperlink"/>
          </w:rPr>
          <w:t xml:space="preserve">[40]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NannyML</w:t>
      </w:r>
      <w:r>
        <w:t xml:space="preserve">: provides open-source monitoring with drift detection and performance estimation without immediate targets; however, its out-of-the-box focus is tabular classification/regression, implying segmentation use will require custom feature extraction and mapping to tabular proxies.</w:t>
      </w:r>
      <w:r>
        <w:t xml:space="preserve"> </w:t>
      </w:r>
      <w:hyperlink r:id="rId52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How to evaluate drift detectors (so monitoring is not guesswork):</w:t>
      </w:r>
      <w:r>
        <w:br/>
      </w:r>
      <w:r>
        <w:t xml:space="preserve">Recent benchmarking discussions emphasize metrics such as detection accuracy, detection time, and delay; these map well to engineering success criteria (false alarms vs missed detections vs lag).</w:t>
      </w:r>
      <w:r>
        <w:t xml:space="preserve"> </w:t>
      </w:r>
      <w:hyperlink r:id="rId29">
        <w:r>
          <w:rPr>
            <w:rStyle w:val="Hyperlink"/>
          </w:rPr>
          <w:t xml:space="preserve">[42]</w:t>
        </w:r>
      </w:hyperlink>
    </w:p>
    <w:bookmarkEnd w:id="53"/>
    <w:bookmarkStart w:id="54" w:name="X05dedd872f7cf0d7c167de867443e28c07412b2"/>
    <w:p>
      <w:pPr>
        <w:pStyle w:val="Heading3"/>
      </w:pPr>
      <w:r>
        <w:t xml:space="preserve">Label generation approaches suited to this project</w:t>
      </w:r>
    </w:p>
    <w:p>
      <w:pPr>
        <w:pStyle w:val="FirstParagraph"/>
      </w:pPr>
      <w:r>
        <w:t xml:space="preserve">Given the central constraint (“few/no SAR ground truth”), label creation must explicitly handle uncertainty and noise.</w:t>
      </w:r>
    </w:p>
    <w:p>
      <w:pPr>
        <w:pStyle w:val="BodyText"/>
      </w:pPr>
      <w:r>
        <w:rPr>
          <w:b/>
          <w:bCs/>
        </w:rPr>
        <w:t xml:space="preserve">Heuristics / weak supervision (programmatic labeling).</w:t>
      </w:r>
      <w:r>
        <w:br/>
      </w:r>
      <w:r>
        <w:t xml:space="preserve">Snorkel’s “labeling functions” formalism is a strong fit when multiple weak signals exist (thresholds, shape priors, anomaly detectors, cross-sensor similarity scores). It enables combining noisy sources into probabilistic labels, and is grounded in peer-reviewed work.</w:t>
      </w:r>
      <w:r>
        <w:t xml:space="preserve"> </w:t>
      </w:r>
      <w:hyperlink r:id="rId34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b/>
          <w:bCs/>
        </w:rPr>
        <w:t xml:space="preserve">Active learning (human-in-the-loop sample selection).</w:t>
      </w:r>
      <w:r>
        <w:br/>
      </w:r>
      <w:r>
        <w:t xml:space="preserve">Deep active learning surveys emphasize that iterative query strategies (uncertainty/diversity) can reduce labeling costs significantly, which matches the project’s need to spend human effort only where drift uncertainty is high or SAR signature is ambiguous.</w:t>
      </w:r>
      <w:r>
        <w:t xml:space="preserve"> </w:t>
      </w:r>
      <w:hyperlink r:id="rId27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Self-supervision / semi-supervision for SAR.</w:t>
      </w:r>
      <w:r>
        <w:br/>
      </w:r>
      <w:r>
        <w:t xml:space="preserve">Self-supervised pretraining for EO (SSL4EO-S12) and SAR-specific SSL methods improve representation quality with limited labels—supporting the proposal’s staged SSL → finetune plan.</w:t>
      </w:r>
      <w:r>
        <w:t xml:space="preserve"> </w:t>
      </w:r>
      <w:hyperlink r:id="rId41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Label quality auditing and noise handling.</w:t>
      </w:r>
      <w:r>
        <w:br/>
      </w:r>
      <w:r>
        <w:t xml:space="preserve">Given that drift-transferred labels will be imperfect, label-noise estimation and cleaning is valuable. “Confident learning” (cleanlab) provides methods to identify likely mislabeled instances, supporting systematic dataset improvement rather than ad hoc relabeling.</w:t>
      </w:r>
      <w:r>
        <w:t xml:space="preserve"> </w:t>
      </w:r>
      <w:hyperlink r:id="rId21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Annotation tooling.</w:t>
      </w:r>
      <w:r>
        <w:br/>
      </w:r>
      <w:r>
        <w:t xml:space="preserve">Label Studio</w:t>
      </w:r>
      <w:hyperlink r:id="rId3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is an appropriate base tool for image segmentation/bounding boxes with support for project configuration and ML-assisted workflows in practice.</w:t>
      </w:r>
      <w:r>
        <w:t xml:space="preserve"> </w:t>
      </w:r>
      <w:hyperlink r:id="rId32">
        <w:r>
          <w:rPr>
            <w:rStyle w:val="Hyperlink"/>
          </w:rPr>
          <w:t xml:space="preserve">[48]</w:t>
        </w:r>
      </w:hyperlink>
    </w:p>
    <w:bookmarkEnd w:id="54"/>
    <w:bookmarkEnd w:id="55"/>
    <w:bookmarkStart w:id="61" w:name="X7b093c92006e7eff42a7f0f81d1eaffcdde1574"/>
    <w:p>
      <w:pPr>
        <w:pStyle w:val="Heading2"/>
      </w:pPr>
      <w:r>
        <w:t xml:space="preserve">Proposed drift-aware label creation strategy and monitoring architecture</w:t>
      </w:r>
    </w:p>
    <w:p>
      <w:pPr>
        <w:pStyle w:val="FirstParagraph"/>
      </w:pPr>
      <w:r>
        <w:t xml:space="preserve">This section provides concrete candidate strategies, an end-to-end workflow, and a recommended “default” design.</w:t>
      </w:r>
    </w:p>
    <w:bookmarkStart w:id="57" w:name="Xd7c7de0bebb1abbcf606a2872571e0695a784d2"/>
    <w:p>
      <w:pPr>
        <w:pStyle w:val="Heading3"/>
      </w:pPr>
      <w:r>
        <w:t xml:space="preserve">Candidate strategies for generating SAR labels</w:t>
      </w:r>
    </w:p>
    <w:p>
      <w:pPr>
        <w:pStyle w:val="FirstParagraph"/>
      </w:pPr>
      <w:r>
        <w:t xml:space="preserve">The strategies below are designed to be mix-and-match, not mutually exclusive.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Limitations / failure modes</w:t>
            </w:r>
          </w:p>
        </w:tc>
        <w:tc>
          <w:tcPr/>
          <w:p>
            <w:pPr>
              <w:pStyle w:val="Compact"/>
            </w:pPr>
            <w:r>
              <w:t xml:space="preserve">Best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Transport-only label transfer</w:t>
            </w:r>
          </w:p>
        </w:tc>
        <w:tc>
          <w:tcPr/>
          <w:p>
            <w:pPr>
              <w:pStyle w:val="Compact"/>
            </w:pPr>
            <w:r>
              <w:t xml:space="preserve">Use drift engine to move optical labels to SAR time; label SAR within predicted uncertainty region manually</w:t>
            </w:r>
          </w:p>
        </w:tc>
        <w:tc>
          <w:tcPr/>
          <w:p>
            <w:pPr>
              <w:pStyle w:val="Compact"/>
            </w:pPr>
            <w:r>
              <w:t xml:space="preserve">Fast to start; leverages existing optical labels; minimal ML engineering</w:t>
            </w:r>
          </w:p>
        </w:tc>
        <w:tc>
          <w:tcPr/>
          <w:p>
            <w:pPr>
              <w:pStyle w:val="Compact"/>
            </w:pPr>
            <w:r>
              <w:t xml:space="preserve">Manual SAR searching is hard; label noise grows rapidly with Δt; hard to scale</w:t>
            </w:r>
          </w:p>
        </w:tc>
        <w:tc>
          <w:tcPr/>
          <w:p>
            <w:pPr>
              <w:pStyle w:val="Compact"/>
            </w:pPr>
            <w:r>
              <w:t xml:space="preserve">Bootstrapping an initial SAR “gold set” for model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+ cross-modal matching</w:t>
            </w:r>
          </w:p>
        </w:tc>
        <w:tc>
          <w:tcPr/>
          <w:p>
            <w:pPr>
              <w:pStyle w:val="Compact"/>
            </w:pPr>
            <w:r>
              <w:t xml:space="preserve">Drift defines SAR search window; a Siamese/cross-modal embedding model ranks candidate SAR patches most similar to the optical patch</w:t>
            </w:r>
          </w:p>
        </w:tc>
        <w:tc>
          <w:tcPr/>
          <w:p>
            <w:pPr>
              <w:pStyle w:val="Compact"/>
            </w:pPr>
            <w:r>
              <w:t xml:space="preserve">Reduces human search; scales better; directly matches the progress update’s Siamese CNN idea</w:t>
            </w:r>
          </w:p>
        </w:tc>
        <w:tc>
          <w:tcPr/>
          <w:p>
            <w:pPr>
              <w:pStyle w:val="Compact"/>
            </w:pPr>
            <w:r>
              <w:t xml:space="preserve">Requires paired training data for the matcher (low Δt); risk of shortcut learning / confusers</w:t>
            </w:r>
          </w:p>
        </w:tc>
        <w:tc>
          <w:tcPr/>
          <w:p>
            <w:pPr>
              <w:pStyle w:val="Compact"/>
            </w:pPr>
            <w:r>
              <w:t xml:space="preserve">Main production path for building large SAR training sets (after seed set 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+ weak supervision + label model</w:t>
            </w:r>
          </w:p>
        </w:tc>
        <w:tc>
          <w:tcPr/>
          <w:p>
            <w:pPr>
              <w:pStyle w:val="Compact"/>
            </w:pPr>
            <w:r>
              <w:t xml:space="preserve">Define multiple labeling functions (SAR anomaly cues, texture, wind regime constraints, similarity scores, etc.) and combine via Snorkel into probabilistic labels</w:t>
            </w:r>
          </w:p>
        </w:tc>
        <w:tc>
          <w:tcPr/>
          <w:p>
            <w:pPr>
              <w:pStyle w:val="Compact"/>
            </w:pPr>
            <w:r>
              <w:t xml:space="preserve">Explicitly models and denoises weak signals; scalable; supports probabilistic training labels</w:t>
            </w:r>
          </w:p>
        </w:tc>
        <w:tc>
          <w:tcPr/>
          <w:p>
            <w:pPr>
              <w:pStyle w:val="Compact"/>
            </w:pPr>
            <w:r>
              <w:t xml:space="preserve">LF design can be time-consuming; must validate LF performance; may struggle if SAR signatures are extremely weak</w:t>
            </w:r>
          </w:p>
        </w:tc>
        <w:tc>
          <w:tcPr/>
          <w:p>
            <w:pPr>
              <w:pStyle w:val="Compact"/>
            </w:pPr>
            <w:r>
              <w:t xml:space="preserve">Scaling beyond what humans can label; generating “silver labels”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learning loop on SAR segmentation model</w:t>
            </w:r>
          </w:p>
        </w:tc>
        <w:tc>
          <w:tcPr/>
          <w:p>
            <w:pPr>
              <w:pStyle w:val="Compact"/>
            </w:pPr>
            <w:r>
              <w:t xml:space="preserve">Train early SAR model; use uncertainty sampling to choose new drift-seeded candidates for manual confirmation; iterate</w:t>
            </w:r>
          </w:p>
        </w:tc>
        <w:tc>
          <w:tcPr/>
          <w:p>
            <w:pPr>
              <w:pStyle w:val="Compact"/>
            </w:pPr>
            <w:r>
              <w:t xml:space="preserve">Most annotation-efficient over time; naturally handles changing distributions</w:t>
            </w:r>
          </w:p>
        </w:tc>
        <w:tc>
          <w:tcPr/>
          <w:p>
            <w:pPr>
              <w:pStyle w:val="Compact"/>
            </w:pPr>
            <w:r>
              <w:t xml:space="preserve">Requires initial model; needs disciplined tracking/versioning</w:t>
            </w:r>
          </w:p>
        </w:tc>
        <w:tc>
          <w:tcPr/>
          <w:p>
            <w:pPr>
              <w:pStyle w:val="Compact"/>
            </w:pPr>
            <w:r>
              <w:t xml:space="preserve">Weeks 6+ once first SAR model exists</w:t>
            </w:r>
          </w:p>
        </w:tc>
      </w:tr>
    </w:tbl>
    <w:p>
      <w:pPr>
        <w:pStyle w:val="BodyText"/>
      </w:pPr>
      <w:r>
        <w:t xml:space="preserve">Snorkel’s probabilistic labeling approach motivates using multiple weak cues rather than a single rule.</w:t>
      </w:r>
      <w:r>
        <w:t xml:space="preserve"> </w:t>
      </w:r>
      <w:hyperlink r:id="rId56">
        <w:r>
          <w:rPr>
            <w:rStyle w:val="Hyperlink"/>
          </w:rPr>
          <w:t xml:space="preserve">[49]</w:t>
        </w:r>
      </w:hyperlink>
      <w:r>
        <w:br/>
      </w:r>
      <w:r>
        <w:t xml:space="preserve">Active learning is a strong fit for controlling annotation costs in segmentation-heavy settings.</w:t>
      </w:r>
      <w:r>
        <w:t xml:space="preserve"> </w:t>
      </w:r>
      <w:hyperlink r:id="rId27">
        <w:r>
          <w:rPr>
            <w:rStyle w:val="Hyperlink"/>
          </w:rPr>
          <w:t xml:space="preserve">[44]</w:t>
        </w:r>
      </w:hyperlink>
    </w:p>
    <w:bookmarkEnd w:id="57"/>
    <w:bookmarkStart w:id="58" w:name="recommended-end-to-end-workflow"/>
    <w:p>
      <w:pPr>
        <w:pStyle w:val="Heading3"/>
      </w:pPr>
      <w:r>
        <w:t xml:space="preserve">Recommended end-to-end workflow</w:t>
      </w:r>
    </w:p>
    <w:p>
      <w:pPr>
        <w:pStyle w:val="FirstParagraph"/>
      </w:pPr>
      <w:r>
        <w:t xml:space="preserve">The recommended architecture treats</w:t>
      </w:r>
      <w:r>
        <w:t xml:space="preserve"> </w:t>
      </w:r>
      <w:r>
        <w:rPr>
          <w:b/>
          <w:bCs/>
        </w:rPr>
        <w:t xml:space="preserve">drift + labeling + monitoring</w:t>
      </w:r>
      <w:r>
        <w:t xml:space="preserve"> </w:t>
      </w:r>
      <w:r>
        <w:t xml:space="preserve">as one coherent system.</w:t>
      </w:r>
    </w:p>
    <w:p>
      <w:pPr>
        <w:pStyle w:val="BodyText"/>
      </w:pPr>
      <w:r>
        <w:rPr>
          <w:b/>
          <w:bCs/>
        </w:rPr>
        <w:t xml:space="preserve">A. Data ingestion + standardization</w:t>
      </w:r>
      <w:r>
        <w:t xml:space="preserve"> </w:t>
      </w:r>
      <w:r>
        <w:t xml:space="preserve">- Ingest Sentinel-2 L2A scenes and labeled optical datasets (e.g., MARIDA) and (when licensed) higher-revisit sources such as Planet-like imagery.</w:t>
      </w:r>
      <w:r>
        <w:t xml:space="preserve"> </w:t>
      </w:r>
      <w:hyperlink r:id="rId30">
        <w:r>
          <w:rPr>
            <w:rStyle w:val="Hyperlink"/>
          </w:rPr>
          <w:t xml:space="preserve">[50]</w:t>
        </w:r>
      </w:hyperlink>
      <w:r>
        <w:br/>
      </w:r>
      <w:r>
        <w:t xml:space="preserve">- Ingest Sentinel-1 SLC scenes for matched times; note operational continuity across Sentinel-1A/Sentinel-1C.</w:t>
      </w:r>
      <w:r>
        <w:t xml:space="preserve"> </w:t>
      </w:r>
      <w:hyperlink r:id="rId43">
        <w:r>
          <w:rPr>
            <w:rStyle w:val="Hyperlink"/>
          </w:rPr>
          <w:t xml:space="preserve">[51]</w:t>
        </w:r>
      </w:hyperlink>
      <w:r>
        <w:br/>
      </w:r>
      <w:r>
        <w:t xml:space="preserve">- Ingest Copernicus Marine winds/currents with an hourly cadence matching the drift propagation time steps.</w:t>
      </w:r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B. Transport drift engine</w:t>
      </w:r>
      <w:r>
        <w:t xml:space="preserve"> </w:t>
      </w:r>
      <w:r>
        <w:t xml:space="preserve">- Implement with OpenDrift first (fastest to integrate in Python with existing ocean drift focus).</w:t>
      </w:r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br/>
      </w:r>
      <w:r>
        <w:t xml:space="preserve">- Model: currents + windage + diffusion; output an ensemble distribution at SAR time.</w:t>
      </w:r>
      <w:r>
        <w:t xml:space="preserve"> </w:t>
      </w:r>
      <w:r>
        <w:t xml:space="preserve">- Export outputs as:</w:t>
      </w:r>
      <w:r>
        <w:t xml:space="preserve"> </w:t>
      </w:r>
      <w:r>
        <w:t xml:space="preserve">- (1) uncertainty ellipse / bounding box (for annotation UI), and</w:t>
      </w:r>
      <w:r>
        <w:t xml:space="preserve"> </w:t>
      </w:r>
      <w:r>
        <w:t xml:space="preserve">- (2) probability raster (for automated candidate mining).</w:t>
      </w:r>
    </w:p>
    <w:p>
      <w:pPr>
        <w:pStyle w:val="BodyText"/>
      </w:pPr>
      <w:r>
        <w:rPr>
          <w:b/>
          <w:bCs/>
        </w:rPr>
        <w:t xml:space="preserve">C. SAR candidate mining inside drift uncertainty region</w:t>
      </w:r>
      <w:r>
        <w:t xml:space="preserve"> </w:t>
      </w:r>
      <w:r>
        <w:t xml:space="preserve">A minimum viable candidate miner should not attempt full SAR detection immediately; it should provide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visual guidance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Compute a SAR “candidate score” using a small set of cues:</w:t>
      </w:r>
    </w:p>
    <w:p>
      <w:pPr>
        <w:pStyle w:val="Compact"/>
        <w:numPr>
          <w:ilvl w:val="0"/>
          <w:numId w:val="1004"/>
        </w:numPr>
      </w:pPr>
      <w:r>
        <w:t xml:space="preserve">intensity anomaly statistics (relative to local neighborhood),</w:t>
      </w:r>
    </w:p>
    <w:p>
      <w:pPr>
        <w:pStyle w:val="Compact"/>
        <w:numPr>
          <w:ilvl w:val="0"/>
          <w:numId w:val="1004"/>
        </w:numPr>
      </w:pPr>
      <w:r>
        <w:t xml:space="preserve">texture features (e.g., GLCM-like measures),</w:t>
      </w:r>
    </w:p>
    <w:p>
      <w:pPr>
        <w:pStyle w:val="Compact"/>
        <w:numPr>
          <w:ilvl w:val="0"/>
          <w:numId w:val="1004"/>
        </w:numPr>
      </w:pPr>
      <w:r>
        <w:t xml:space="preserve">geometry priors (elongated slick-like shapes where applicable),</w:t>
      </w:r>
    </w:p>
    <w:p>
      <w:pPr>
        <w:pStyle w:val="Compact"/>
        <w:numPr>
          <w:ilvl w:val="0"/>
          <w:numId w:val="1004"/>
        </w:numPr>
      </w:pPr>
      <w:r>
        <w:t xml:space="preserve">exclusion masks (shipping lanes / persistent bright targets) where known.</w:t>
      </w:r>
    </w:p>
    <w:p>
      <w:pPr>
        <w:pStyle w:val="Compact"/>
        <w:numPr>
          <w:ilvl w:val="0"/>
          <w:numId w:val="1004"/>
        </w:numPr>
      </w:pPr>
      <w:r>
        <w:t xml:space="preserve">In parallel, train a cross-modal patch matcher on low Δt pairs to rank candidates (progress update’s Siamese CNN plan).</w:t>
      </w:r>
    </w:p>
    <w:p>
      <w:pPr>
        <w:pStyle w:val="FirstParagraph"/>
      </w:pPr>
      <w:r>
        <w:rPr>
          <w:b/>
          <w:bCs/>
        </w:rPr>
        <w:t xml:space="preserve">D. Labeling + review</w:t>
      </w:r>
      <w:r>
        <w:t xml:space="preserve"> </w:t>
      </w:r>
      <w:r>
        <w:t xml:space="preserve">- Use Label Studio projects configured for:</w:t>
      </w:r>
      <w:r>
        <w:t xml:space="preserve"> </w:t>
      </w:r>
      <w:r>
        <w:t xml:space="preserve">- bounding boxes for coarse localization, and</w:t>
      </w:r>
      <w:r>
        <w:t xml:space="preserve"> </w:t>
      </w:r>
      <w:r>
        <w:t xml:space="preserve">- polygon/brush masks for fine segmentation when required.</w:t>
      </w:r>
      <w:r>
        <w:t xml:space="preserve"> </w:t>
      </w:r>
      <w:hyperlink r:id="rId32">
        <w:r>
          <w:rPr>
            <w:rStyle w:val="Hyperlink"/>
          </w:rPr>
          <w:t xml:space="preserve">[48]</w:t>
        </w:r>
      </w:hyperlink>
      <w:r>
        <w:br/>
      </w:r>
      <w:r>
        <w:t xml:space="preserve">- Human task design is crucial:</w:t>
      </w:r>
      <w:r>
        <w:t xml:space="preserve"> </w:t>
      </w:r>
      <w:r>
        <w:t xml:space="preserve">- always show the optical reference patch,</w:t>
      </w:r>
      <w:r>
        <w:t xml:space="preserve"> </w:t>
      </w:r>
      <w:r>
        <w:t xml:space="preserve">- show drift probability overlay,</w:t>
      </w:r>
      <w:r>
        <w:t xml:space="preserve"> </w:t>
      </w:r>
      <w:r>
        <w:t xml:space="preserve">- show SAR-derived candidate heatmap,</w:t>
      </w:r>
      <w:r>
        <w:t xml:space="preserve"> </w:t>
      </w:r>
      <w:r>
        <w:t xml:space="preserve">- force annotators to select confidence (high/medium/low) to encode label uncertainty.</w:t>
      </w:r>
    </w:p>
    <w:p>
      <w:pPr>
        <w:pStyle w:val="BodyText"/>
      </w:pPr>
      <w:r>
        <w:rPr>
          <w:b/>
          <w:bCs/>
        </w:rPr>
        <w:t xml:space="preserve">E. Training loop</w:t>
      </w:r>
      <w:r>
        <w:t xml:space="preserve"> </w:t>
      </w:r>
      <w:r>
        <w:t xml:space="preserve">- Maintain three label tiers: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Gold</w:t>
      </w:r>
      <w:r>
        <w:t xml:space="preserve">: in-situ/controlled drops or very low Δt confirmed matches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Silver</w:t>
      </w:r>
      <w:r>
        <w:t xml:space="preserve">: drift + human-confirmed bounding boxes or masks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Bronze</w:t>
      </w:r>
      <w:r>
        <w:t xml:space="preserve">: weak labels / pseudo labels used only in semi-supervised training</w:t>
      </w:r>
      <w:r>
        <w:br/>
      </w:r>
      <w:r>
        <w:t xml:space="preserve">- For SSL and segmentation fine-tuning, maintain strict dataset versioning to track improvements (recommended even for research).</w:t>
      </w:r>
    </w:p>
    <w:p>
      <w:pPr>
        <w:pStyle w:val="BodyText"/>
      </w:pPr>
      <w:r>
        <w:rPr>
          <w:b/>
          <w:bCs/>
        </w:rPr>
        <w:t xml:space="preserve">F. Monitoring and retraining triggers</w:t>
      </w:r>
      <w:r>
        <w:t xml:space="preserve"> </w:t>
      </w:r>
      <w:r>
        <w:t xml:space="preserve">- Continuous monitoring (per acquisition day/week):</w:t>
      </w:r>
      <w:r>
        <w:t xml:space="preserve"> </w:t>
      </w:r>
      <w:r>
        <w:t xml:space="preserve">- Drift-engine residuals (distance between predicted and observed optical follow-up when available)</w:t>
      </w:r>
      <w:r>
        <w:t xml:space="preserve"> </w:t>
      </w:r>
      <w:r>
        <w:t xml:space="preserve">- Data drift in SAR embeddings (Alibi Detect)</w:t>
      </w:r>
      <w:r>
        <w:t xml:space="preserve"> </w:t>
      </w:r>
      <w:r>
        <w:t xml:space="preserve">- Scalar drift signals (predicted debris area, mean confidence) with River ADWIN/EDDM</w:t>
      </w:r>
      <w:r>
        <w:t xml:space="preserve"> </w:t>
      </w:r>
      <w:r>
        <w:t xml:space="preserve">- Retraining triggers:</w:t>
      </w:r>
      <w:r>
        <w:t xml:space="preserve"> </w:t>
      </w:r>
      <w:r>
        <w:t xml:space="preserve">- sustained drift alarms over N scenes</w:t>
      </w:r>
      <w:r>
        <w:t xml:space="preserve"> </w:t>
      </w:r>
      <w:r>
        <w:t xml:space="preserve">- a statistically significant label shift (changed predicted debris prevalence) combined with increased uncertainty</w:t>
      </w:r>
      <w:r>
        <w:t xml:space="preserve"> </w:t>
      </w:r>
      <w:r>
        <w:t xml:space="preserve">- degradation on a rolling “gold” evaluation set when available</w:t>
      </w:r>
      <w:r>
        <w:br/>
      </w:r>
      <w:r>
        <w:t xml:space="preserve">Alibi Detect’s scope across images/time series supports the embedding-based approach.</w:t>
      </w:r>
      <w:r>
        <w:t xml:space="preserve"> </w:t>
      </w:r>
      <w:hyperlink r:id="rId26">
        <w:r>
          <w:rPr>
            <w:rStyle w:val="Hyperlink"/>
          </w:rPr>
          <w:t xml:space="preserve">[53]</w:t>
        </w:r>
      </w:hyperlink>
      <w:r>
        <w:br/>
      </w:r>
      <w:r>
        <w:t xml:space="preserve">River’s ADWIN/EDDM are appropriate for scalar monitoring streams.</w:t>
      </w:r>
      <w:r>
        <w:t xml:space="preserve"> </w:t>
      </w:r>
      <w:hyperlink r:id="rId31">
        <w:r>
          <w:rPr>
            <w:rStyle w:val="Hyperlink"/>
          </w:rPr>
          <w:t xml:space="preserve">[54]</w:t>
        </w:r>
      </w:hyperlink>
    </w:p>
    <w:bookmarkEnd w:id="58"/>
    <w:bookmarkStart w:id="60" w:name="Xe88185bb3e4a9a571ba7aaf17f779ce04273a17"/>
    <w:p>
      <w:pPr>
        <w:pStyle w:val="Heading3"/>
      </w:pPr>
      <w:r>
        <w:t xml:space="preserve">Comparison table of candidate methods and tools</w:t>
      </w:r>
    </w:p>
    <w:p>
      <w:pPr>
        <w:pStyle w:val="FirstParagraph"/>
      </w:pPr>
      <w:r>
        <w:t xml:space="preserve">This table emphasizes “fitness to purpose”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project (ocean transport + SAR label bootstrapping + segmentation + monitoring).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Maturity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drift engine</w:t>
            </w:r>
          </w:p>
        </w:tc>
        <w:tc>
          <w:tcPr/>
          <w:p>
            <w:pPr>
              <w:pStyle w:val="Compact"/>
            </w:pPr>
            <w:r>
              <w:t xml:space="preserve">OpenDrift</w:t>
            </w:r>
          </w:p>
        </w:tc>
        <w:tc>
          <w:tcPr/>
          <w:p>
            <w:pPr>
              <w:pStyle w:val="Compact"/>
            </w:pPr>
            <w:r>
              <w:t xml:space="preserve">Ocean-drift focus; Python-first; particle ensemble modeling; strong documentation and references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Requires parameter tuning (windage/diffusion); quality depends on forcing fields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Widely used (research/ops)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drift engine</w:t>
            </w:r>
          </w:p>
        </w:tc>
        <w:tc>
          <w:tcPr/>
          <w:p>
            <w:pPr>
              <w:pStyle w:val="Compact"/>
            </w:pPr>
            <w:r>
              <w:t xml:space="preserve">Parcels</w:t>
            </w:r>
          </w:p>
        </w:tc>
        <w:tc>
          <w:tcPr/>
          <w:p>
            <w:pPr>
              <w:pStyle w:val="Compact"/>
            </w:pPr>
            <w:r>
              <w:t xml:space="preserve">Very flexible kernel model; strong scientific adoption; designed for circulation-model outputs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More engineering for “out-of-box” debris use cases; still needs calibration</w:t>
            </w:r>
          </w:p>
        </w:tc>
        <w:tc>
          <w:tcPr/>
          <w:p>
            <w:pPr>
              <w:pStyle w:val="Compact"/>
            </w:pPr>
            <w:r>
              <w:t xml:space="preserve">M–H</w:t>
            </w:r>
          </w:p>
        </w:tc>
        <w:tc>
          <w:tcPr/>
          <w:p>
            <w:pPr>
              <w:pStyle w:val="Compact"/>
            </w:pPr>
            <w:r>
              <w:t xml:space="preserve">Widely used (research)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drift engine</w:t>
            </w:r>
          </w:p>
        </w:tc>
        <w:tc>
          <w:tcPr/>
          <w:p>
            <w:pPr>
              <w:pStyle w:val="Compact"/>
            </w:pPr>
            <w:r>
              <w:t xml:space="preserve">NOAA GNOME</w:t>
            </w:r>
          </w:p>
        </w:tc>
        <w:tc>
          <w:tcPr/>
          <w:p>
            <w:pPr>
              <w:pStyle w:val="Compact"/>
            </w:pPr>
            <w:r>
              <w:t xml:space="preserve">Mature trajectory modeling; strong technical manuals; GIS-friendly outputs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Less ML-pipeline-native; debris-specific modeling may require adaptation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Mature (operational)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reference</w:t>
            </w:r>
          </w:p>
        </w:tc>
        <w:tc>
          <w:tcPr/>
          <w:p>
            <w:pPr>
              <w:pStyle w:val="Compact"/>
            </w:pPr>
            <w:r>
              <w:t xml:space="preserve">OPAT (Geomatys / ESA)</w:t>
            </w:r>
          </w:p>
        </w:tc>
        <w:tc>
          <w:tcPr/>
          <w:p>
            <w:pPr>
              <w:pStyle w:val="Compact"/>
            </w:pPr>
            <w:r>
              <w:t xml:space="preserve">Demonstrates drift forecasting + EO alerting concept (24–48h) with Copernicus Marine forcing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 necessarily open or research-modifiable; may be platform-bound</w:t>
            </w:r>
          </w:p>
        </w:tc>
        <w:tc>
          <w:tcPr/>
          <w:p>
            <w:pPr>
              <w:pStyle w:val="Compact"/>
            </w:pPr>
            <w:r>
              <w:t xml:space="preserve">L (as reference)</w:t>
            </w:r>
          </w:p>
        </w:tc>
        <w:tc>
          <w:tcPr/>
          <w:p>
            <w:pPr>
              <w:pStyle w:val="Compact"/>
            </w:pPr>
            <w:r>
              <w:t xml:space="preserve">Operational service (vendor)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Optical baseline labels</w:t>
            </w:r>
          </w:p>
        </w:tc>
        <w:tc>
          <w:tcPr/>
          <w:p>
            <w:pPr>
              <w:pStyle w:val="Compact"/>
            </w:pPr>
            <w:r>
              <w:t xml:space="preserve">MARIDA</w:t>
            </w:r>
          </w:p>
        </w:tc>
        <w:tc>
          <w:tcPr/>
          <w:p>
            <w:pPr>
              <w:pStyle w:val="Compact"/>
            </w:pPr>
            <w:r>
              <w:t xml:space="preserve">Public benchmark; includes confusers; supports segmentation baselines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Optical-only; SAR transfer needs drift + matching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Mature (research benchmark)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Optical detection cue</w:t>
            </w:r>
          </w:p>
        </w:tc>
        <w:tc>
          <w:tcPr/>
          <w:p>
            <w:pPr>
              <w:pStyle w:val="Compact"/>
            </w:pPr>
            <w:r>
              <w:t xml:space="preserve">FDI + PI</w:t>
            </w:r>
          </w:p>
        </w:tc>
        <w:tc>
          <w:tcPr/>
          <w:p>
            <w:pPr>
              <w:pStyle w:val="Compact"/>
            </w:pPr>
            <w:r>
              <w:t xml:space="preserve">Established indices for floating materials/plastic targets in Sentinel-2 contexts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Still confounded by algae/foam; not SAR-direct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Mature (research)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supervision</w:t>
            </w:r>
          </w:p>
        </w:tc>
        <w:tc>
          <w:tcPr/>
          <w:p>
            <w:pPr>
              <w:pStyle w:val="Compact"/>
            </w:pPr>
            <w:r>
              <w:t xml:space="preserve">Snorkel</w:t>
            </w:r>
          </w:p>
        </w:tc>
        <w:tc>
          <w:tcPr/>
          <w:p>
            <w:pPr>
              <w:pStyle w:val="Compact"/>
            </w:pPr>
            <w:r>
              <w:t xml:space="preserve">Labeling functions + probabilistic label model; strong published foundations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Designing good LFs is non-trivial; needs gold set for validation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Mature (industry + research)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platform</w:t>
            </w:r>
          </w:p>
        </w:tc>
        <w:tc>
          <w:tcPr/>
          <w:p>
            <w:pPr>
              <w:pStyle w:val="Compact"/>
            </w:pPr>
            <w:r>
              <w:t xml:space="preserve">Label Studio</w:t>
            </w:r>
          </w:p>
        </w:tc>
        <w:tc>
          <w:tcPr/>
          <w:p>
            <w:pPr>
              <w:pStyle w:val="Compact"/>
            </w:pPr>
            <w:r>
              <w:t xml:space="preserve">Open-source labeling with segmentation support and ML-assisted workflows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Geospatial UX customization may be needed for map-native workflows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Mature (production OSS)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detection (images)</w:t>
            </w:r>
          </w:p>
        </w:tc>
        <w:tc>
          <w:tcPr/>
          <w:p>
            <w:pPr>
              <w:pStyle w:val="Compact"/>
            </w:pPr>
            <w:r>
              <w:t xml:space="preserve">Alibi Detect</w:t>
            </w:r>
          </w:p>
        </w:tc>
        <w:tc>
          <w:tcPr/>
          <w:p>
            <w:pPr>
              <w:pStyle w:val="Compact"/>
            </w:pPr>
            <w:r>
              <w:t xml:space="preserve">Designed for drift/outlier; supports images/time series; multiple detectors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Packaging/license constraints (“source-available”); detector selection needs experimentation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Mature (broad adoption)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detection (streaming scalars)</w:t>
            </w:r>
          </w:p>
        </w:tc>
        <w:tc>
          <w:tcPr/>
          <w:p>
            <w:pPr>
              <w:pStyle w:val="Compact"/>
            </w:pPr>
            <w:r>
              <w:t xml:space="preserve">River</w:t>
            </w:r>
          </w:p>
        </w:tc>
        <w:tc>
          <w:tcPr/>
          <w:p>
            <w:pPr>
              <w:pStyle w:val="Compact"/>
            </w:pPr>
            <w:r>
              <w:t xml:space="preserve">Lightweight online drift detectors; good for scalar KPIs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 image-native; must engineer summary signals</w:t>
            </w:r>
          </w:p>
        </w:tc>
        <w:tc>
          <w:tcPr/>
          <w:p>
            <w:pPr>
              <w:pStyle w:val="Compact"/>
            </w:pPr>
            <w:r>
              <w:t xml:space="preserve">L–M</w:t>
            </w:r>
          </w:p>
        </w:tc>
        <w:tc>
          <w:tcPr/>
          <w:p>
            <w:pPr>
              <w:pStyle w:val="Compact"/>
            </w:pPr>
            <w:r>
              <w:t xml:space="preserve">Mature (OSS)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quality audit</w:t>
            </w:r>
          </w:p>
        </w:tc>
        <w:tc>
          <w:tcPr/>
          <w:p>
            <w:pPr>
              <w:pStyle w:val="Compact"/>
            </w:pPr>
            <w:r>
              <w:t xml:space="preserve">cleanlab (confident learning)</w:t>
            </w:r>
          </w:p>
        </w:tc>
        <w:tc>
          <w:tcPr/>
          <w:p>
            <w:pPr>
              <w:pStyle w:val="Compact"/>
            </w:pPr>
            <w:r>
              <w:t xml:space="preserve">Systematic identification of label issues; supports data-centric iteration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Requires probabilistic predictions and careful interpretation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Mature (research + OSS)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shift detection</w:t>
            </w:r>
          </w:p>
        </w:tc>
        <w:tc>
          <w:tcPr/>
          <w:p>
            <w:pPr>
              <w:pStyle w:val="Compact"/>
            </w:pPr>
            <w:r>
              <w:t xml:space="preserve">BBSE (Lipton et al.)</w:t>
            </w:r>
          </w:p>
        </w:tc>
        <w:tc>
          <w:tcPr/>
          <w:p>
            <w:pPr>
              <w:pStyle w:val="Compact"/>
            </w:pPr>
            <w:r>
              <w:t xml:space="preserve">Principled test/estimation for label shift; useful if prevalence changes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Assumptions (invertible confusion matrix; stable p(x</w:t>
            </w:r>
          </w:p>
        </w:tc>
        <w:tc>
          <w:tcPr/>
          <w:p>
            <w:pPr>
              <w:pStyle w:val="Compact"/>
            </w:pPr>
            <w:r>
              <w:t xml:space="preserve">y)) may not hold strongly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60"/>
    <w:bookmarkEnd w:id="61"/>
    <w:bookmarkStart w:id="65" w:name="evaluation-metrics-and-success-criteria"/>
    <w:p>
      <w:pPr>
        <w:pStyle w:val="Heading2"/>
      </w:pPr>
      <w:r>
        <w:t xml:space="preserve">Evaluation metrics and success criteria</w:t>
      </w:r>
    </w:p>
    <w:p>
      <w:pPr>
        <w:pStyle w:val="FirstParagraph"/>
      </w:pPr>
      <w:r>
        <w:t xml:space="preserve">Because labels are being created via an uncertain transfer, evaluation must address</w:t>
      </w:r>
      <w:r>
        <w:t xml:space="preserve"> </w:t>
      </w:r>
      <w:r>
        <w:rPr>
          <w:b/>
          <w:bCs/>
        </w:rPr>
        <w:t xml:space="preserve">(1) transport accuracy</w:t>
      </w:r>
      <w:r>
        <w:t xml:space="preserve">,</w:t>
      </w:r>
      <w:r>
        <w:t xml:space="preserve"> </w:t>
      </w:r>
      <w:r>
        <w:rPr>
          <w:b/>
          <w:bCs/>
        </w:rPr>
        <w:t xml:space="preserve">(2) label correctness</w:t>
      </w:r>
      <w:r>
        <w:t xml:space="preserve">, and</w:t>
      </w:r>
      <w:r>
        <w:t xml:space="preserve"> </w:t>
      </w:r>
      <w:r>
        <w:rPr>
          <w:b/>
          <w:bCs/>
        </w:rPr>
        <w:t xml:space="preserve">(3) monitoring reliability</w:t>
      </w:r>
      <w:r>
        <w:t xml:space="preserve">.</w:t>
      </w:r>
    </w:p>
    <w:bookmarkStart w:id="62" w:name="drift-engine-evaluation"/>
    <w:p>
      <w:pPr>
        <w:pStyle w:val="Heading3"/>
      </w:pPr>
      <w:r>
        <w:t xml:space="preserve">Drift engine evaluation</w:t>
      </w:r>
    </w:p>
    <w:p>
      <w:pPr>
        <w:pStyle w:val="FirstParagraph"/>
      </w:pPr>
      <w:r>
        <w:t xml:space="preserve">Primary metrics (per matched event):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 error</w:t>
      </w:r>
      <w:r>
        <w:t xml:space="preserve">: great-circle distance error and/or RMSE between predicted patch centroid and observed centroid (the progress update’s plan). (Progress update: Pretorius, 2026)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Uncertainty calibration</w:t>
      </w:r>
      <w:r>
        <w:t xml:space="preserve">: fraction of observed centroids that fall inside the predicted 50% / 90% uncertainty region (coverage probability).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Skill vs baselines</w:t>
      </w:r>
      <w:r>
        <w:t xml:space="preserve">: compare against “no motion” and “current-only” baselines to show the value of windage and diffusion.</w:t>
      </w:r>
    </w:p>
    <w:p>
      <w:pPr>
        <w:pStyle w:val="BodyText"/>
      </w:pPr>
      <w:r>
        <w:t xml:space="preserve">To enable quantitative evaluation, include real drifter/instrumented targets where possible (NOAA drifters for sanity checks; project-specific low-cost drifters for local truthing).</w:t>
      </w:r>
      <w:r>
        <w:t xml:space="preserve"> </w:t>
      </w:r>
      <w:hyperlink r:id="rId25">
        <w:r>
          <w:rPr>
            <w:rStyle w:val="Hyperlink"/>
          </w:rPr>
          <w:t xml:space="preserve">[36]</w:t>
        </w:r>
      </w:hyperlink>
    </w:p>
    <w:bookmarkEnd w:id="62"/>
    <w:bookmarkStart w:id="63" w:name="sar-label-quality-evaluation"/>
    <w:p>
      <w:pPr>
        <w:pStyle w:val="Heading3"/>
      </w:pPr>
      <w:r>
        <w:t xml:space="preserve">SAR label-quality evaluation</w:t>
      </w:r>
    </w:p>
    <w:p>
      <w:pPr>
        <w:pStyle w:val="FirstParagraph"/>
      </w:pPr>
      <w:r>
        <w:t xml:space="preserve">A robust label-quality program should include: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Gold audit set</w:t>
      </w:r>
      <w:r>
        <w:t xml:space="preserve">: a small set of SAR scenes/patches manually labeled by expert(s) without drift hints (or with controlled target drops) to serve as an unbiased measure.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Agreement measures</w:t>
      </w:r>
      <w:r>
        <w:t xml:space="preserve">: inter-annotator agreement on bounding boxes/masks for a subset (especially important for ambiguous SAR signatures).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Noise detection</w:t>
      </w:r>
      <w:r>
        <w:t xml:space="preserve">: run label-issue detection (confident learning) on the training set routinely to identify systematic label failures tied to conditions (wind regime, incidence geometry, geography).</w:t>
      </w:r>
      <w:r>
        <w:t xml:space="preserve"> </w:t>
      </w:r>
      <w:hyperlink r:id="rId21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Label provenance tracking</w:t>
      </w:r>
      <w:r>
        <w:t xml:space="preserve">: store for every label its origin (in-situ vs drift-transfer vs weak label), Δt, forcing fields summary, and annotator confidence.</w:t>
      </w:r>
    </w:p>
    <w:p>
      <w:pPr>
        <w:pStyle w:val="FirstParagraph"/>
      </w:pPr>
      <w:r>
        <w:t xml:space="preserve">Success criteria (label quality) should be expressed in ranges because true difficulty is unknown. A reasonable initial target for “silver” labels is:</w:t>
      </w:r>
      <w:r>
        <w:t xml:space="preserve"> </w:t>
      </w:r>
      <w:r>
        <w:t xml:space="preserve">- ≥80% correctness for coarse localization (is the patch inside the box?), and</w:t>
      </w:r>
      <w:r>
        <w:t xml:space="preserve"> </w:t>
      </w:r>
      <w:r>
        <w:t xml:space="preserve">- ≥65–75% correctness for fine segmentation masks (IoU against gold), improving across iterations.</w:t>
      </w:r>
    </w:p>
    <w:bookmarkEnd w:id="63"/>
    <w:bookmarkStart w:id="64" w:name="drift-detection-evaluation-ml-monitoring"/>
    <w:p>
      <w:pPr>
        <w:pStyle w:val="Heading3"/>
      </w:pPr>
      <w:r>
        <w:t xml:space="preserve">Drift detection evaluation (ML monitoring)</w:t>
      </w:r>
    </w:p>
    <w:p>
      <w:pPr>
        <w:pStyle w:val="FirstParagraph"/>
      </w:pPr>
      <w:r>
        <w:t xml:space="preserve">Drift detectors should be tested on replayed historical streams (or simulated perturbations) and scored via:</w:t>
      </w:r>
      <w:r>
        <w:t xml:space="preserve"> </w:t>
      </w:r>
      <w:r>
        <w:t xml:space="preserve">- false alarm rate,</w:t>
      </w:r>
      <w:r>
        <w:t xml:space="preserve"> </w:t>
      </w:r>
      <w:r>
        <w:t xml:space="preserve">- detection delay,</w:t>
      </w:r>
      <w:r>
        <w:t xml:space="preserve"> </w:t>
      </w:r>
      <w:r>
        <w:t xml:space="preserve">- sensitivity to known regime changes (e.g., seasonal sea-state change).</w:t>
      </w:r>
      <w:r>
        <w:t xml:space="preserve"> </w:t>
      </w:r>
      <w:hyperlink r:id="rId29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Monitoring should be defined as successful only if it provides actionable triggers with acceptable false positives (otherwise it creates “alert fatigue”).</w:t>
      </w:r>
    </w:p>
    <w:bookmarkEnd w:id="64"/>
    <w:bookmarkEnd w:id="65"/>
    <w:bookmarkStart w:id="73" w:name="Xab158378f3b4098da29e8cbffbad6cd4f076aa1"/>
    <w:p>
      <w:pPr>
        <w:pStyle w:val="Heading2"/>
      </w:pPr>
      <w:r>
        <w:t xml:space="preserve">Implementation plan with milestones, timeline, resourcing, risks, and next steps</w:t>
      </w:r>
    </w:p>
    <w:bookmarkStart w:id="66" w:name="assumptions-and-unknowns"/>
    <w:p>
      <w:pPr>
        <w:pStyle w:val="Heading3"/>
      </w:pPr>
      <w:r>
        <w:t xml:space="preserve">Assumptions and unknowns</w:t>
      </w:r>
    </w:p>
    <w:p>
      <w:pPr>
        <w:pStyle w:val="FirstParagraph"/>
      </w:pPr>
      <w:r>
        <w:t xml:space="preserve">The documents do not specify several planning-critical parameters; the plan therefore assumes:</w:t>
      </w:r>
      <w:r>
        <w:t xml:space="preserve"> </w:t>
      </w:r>
      <w:r>
        <w:t xml:space="preserve">- unknown number of SAR scenes and matchable label events,</w:t>
      </w:r>
      <w:r>
        <w:t xml:space="preserve"> </w:t>
      </w:r>
      <w:r>
        <w:t xml:space="preserve">- unknown number of classes (binary vs multi-class),</w:t>
      </w:r>
      <w:r>
        <w:t xml:space="preserve"> </w:t>
      </w:r>
      <w:r>
        <w:t xml:space="preserve">- unknown annotation budget and number of annotators,</w:t>
      </w:r>
      <w:r>
        <w:t xml:space="preserve"> </w:t>
      </w:r>
      <w:r>
        <w:t xml:space="preserve">- unknown compute environment (local GPU vs cloud),</w:t>
      </w:r>
      <w:r>
        <w:t xml:space="preserve"> </w:t>
      </w:r>
      <w:r>
        <w:t xml:space="preserve">- unknown availability and cadence of in-situ deployments.</w:t>
      </w:r>
      <w:r>
        <w:br/>
      </w:r>
      <w:r>
        <w:t xml:space="preserve">(Proposal: Pretorius, 2025; Progress update: Pretorius, 2026)</w:t>
      </w:r>
    </w:p>
    <w:p>
      <w:pPr>
        <w:pStyle w:val="BodyText"/>
      </w:pPr>
      <w:r>
        <w:t xml:space="preserve">All estimates below are expressed as formulas or ranges.</w:t>
      </w:r>
    </w:p>
    <w:bookmarkEnd w:id="66"/>
    <w:bookmarkStart w:id="67" w:name="milestones-and-week-level-timeline"/>
    <w:p>
      <w:pPr>
        <w:pStyle w:val="Heading3"/>
      </w:pPr>
      <w:r>
        <w:t xml:space="preserve">Milestones and week-level timeline</w:t>
      </w:r>
    </w:p>
    <w:p>
      <w:pPr>
        <w:pStyle w:val="FirstParagraph"/>
      </w:pPr>
      <w:r>
        <w:t xml:space="preserve">The schedule below is designed for a ~16-week execution window; adjust length based on thesis deadlines and field constraints.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Drift-aware label creation and monitoring (16-week plan)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%d-%b</w:t>
      </w:r>
      <w:r>
        <w:br/>
      </w:r>
      <w:r>
        <w:br/>
      </w:r>
      <w:r>
        <w:rPr>
          <w:rStyle w:val="VerbatimChar"/>
        </w:rPr>
        <w:t xml:space="preserve">    section Foundations</w:t>
      </w:r>
      <w:r>
        <w:br/>
      </w:r>
      <w:r>
        <w:rPr>
          <w:rStyle w:val="VerbatimChar"/>
        </w:rPr>
        <w:t xml:space="preserve">    Define label schema, QA rules, splits          :a1, 2026-03-11, 10d</w:t>
      </w:r>
      <w:r>
        <w:br/>
      </w:r>
      <w:r>
        <w:rPr>
          <w:rStyle w:val="VerbatimChar"/>
        </w:rPr>
        <w:t xml:space="preserve">    Data inventory + reproducible preprocessing    :a2, after a1, 15d</w:t>
      </w:r>
      <w:r>
        <w:br/>
      </w:r>
      <w:r>
        <w:br/>
      </w:r>
      <w:r>
        <w:rPr>
          <w:rStyle w:val="VerbatimChar"/>
        </w:rPr>
        <w:t xml:space="preserve">    section Drift engine</w:t>
      </w:r>
      <w:r>
        <w:br/>
      </w:r>
      <w:r>
        <w:rPr>
          <w:rStyle w:val="VerbatimChar"/>
        </w:rPr>
        <w:t xml:space="preserve">    Implement OpenDrift baseline + IO interfaces   :b1, 2026-04-01, 15d</w:t>
      </w:r>
      <w:r>
        <w:br/>
      </w:r>
      <w:r>
        <w:rPr>
          <w:rStyle w:val="VerbatimChar"/>
        </w:rPr>
        <w:t xml:space="preserve">    Calibrate parameters (windage/diffusion)       :b2, after b1, 10d</w:t>
      </w:r>
      <w:r>
        <w:br/>
      </w:r>
      <w:r>
        <w:rPr>
          <w:rStyle w:val="VerbatimChar"/>
        </w:rPr>
        <w:t xml:space="preserve">    Optical-based drift validation harness         :b3, after b1, 12d</w:t>
      </w:r>
      <w:r>
        <w:br/>
      </w:r>
      <w:r>
        <w:br/>
      </w:r>
      <w:r>
        <w:rPr>
          <w:rStyle w:val="VerbatimChar"/>
        </w:rPr>
        <w:t xml:space="preserve">    section Label creation</w:t>
      </w:r>
      <w:r>
        <w:br/>
      </w:r>
      <w:r>
        <w:rPr>
          <w:rStyle w:val="VerbatimChar"/>
        </w:rPr>
        <w:t xml:space="preserve">    Low-Δt manual SAR matching (seed gold set)     :c1, 2026-04-15, 15d</w:t>
      </w:r>
      <w:r>
        <w:br/>
      </w:r>
      <w:r>
        <w:rPr>
          <w:rStyle w:val="VerbatimChar"/>
        </w:rPr>
        <w:t xml:space="preserve">    Candidate mining + UI integration (Label Studio):c2, after c1, 12d</w:t>
      </w:r>
      <w:r>
        <w:br/>
      </w:r>
      <w:r>
        <w:rPr>
          <w:rStyle w:val="VerbatimChar"/>
        </w:rPr>
        <w:t xml:space="preserve">    Cross-modal matcher prototype (Siamese)        :c3, after c1, 15d</w:t>
      </w:r>
      <w:r>
        <w:br/>
      </w:r>
      <w:r>
        <w:br/>
      </w:r>
      <w:r>
        <w:rPr>
          <w:rStyle w:val="VerbatimChar"/>
        </w:rPr>
        <w:t xml:space="preserve">    section Model training loop</w:t>
      </w:r>
      <w:r>
        <w:br/>
      </w:r>
      <w:r>
        <w:rPr>
          <w:rStyle w:val="VerbatimChar"/>
        </w:rPr>
        <w:t xml:space="preserve">    Train first SAR segmenter (baseline U-Net)     :d1, 2026-05-20, 12d</w:t>
      </w:r>
      <w:r>
        <w:br/>
      </w:r>
      <w:r>
        <w:rPr>
          <w:rStyle w:val="VerbatimChar"/>
        </w:rPr>
        <w:t xml:space="preserve">    Active learning iteration (1–2 cycles)         :d2, after d1, 15d</w:t>
      </w:r>
      <w:r>
        <w:br/>
      </w:r>
      <w:r>
        <w:rPr>
          <w:rStyle w:val="VerbatimChar"/>
        </w:rPr>
        <w:t xml:space="preserve">    Label quality audit + cleanlab pass            :d3, after d1, 10d</w:t>
      </w:r>
      <w:r>
        <w:br/>
      </w:r>
      <w:r>
        <w:br/>
      </w:r>
      <w:r>
        <w:rPr>
          <w:rStyle w:val="VerbatimChar"/>
        </w:rPr>
        <w:t xml:space="preserve">    section Monitoring &amp; deployment artifacts</w:t>
      </w:r>
      <w:r>
        <w:br/>
      </w:r>
      <w:r>
        <w:rPr>
          <w:rStyle w:val="VerbatimChar"/>
        </w:rPr>
        <w:t xml:space="preserve">    Drift monitoring dashboards + alerts           :e1, 2026-06-10, 12d</w:t>
      </w:r>
      <w:r>
        <w:br/>
      </w:r>
      <w:r>
        <w:rPr>
          <w:rStyle w:val="VerbatimChar"/>
        </w:rPr>
        <w:t xml:space="preserve">    Retraining triggers + model registry           :e2, after e1, 8d</w:t>
      </w:r>
      <w:r>
        <w:br/>
      </w:r>
      <w:r>
        <w:rPr>
          <w:rStyle w:val="VerbatimChar"/>
        </w:rPr>
        <w:t xml:space="preserve">    Final evaluation + reporting                   :e3, after e2, 10d</w:t>
      </w:r>
    </w:p>
    <w:p>
      <w:pPr>
        <w:pStyle w:val="FirstParagraph"/>
      </w:pPr>
      <w:r>
        <w:t xml:space="preserve">Key dependencies:</w:t>
      </w:r>
      <w:r>
        <w:t xml:space="preserve"> </w:t>
      </w:r>
      <w:r>
        <w:t xml:space="preserve">- Cross-modal matching (Siamese) depends on having enough low-Δt paired examples.</w:t>
      </w:r>
      <w:r>
        <w:t xml:space="preserve"> </w:t>
      </w:r>
      <w:r>
        <w:t xml:space="preserve">- Monitoring design depends on stable “signals” extracted from the inference pipeline (debris fraction, embedding stats).</w:t>
      </w:r>
    </w:p>
    <w:bookmarkEnd w:id="67"/>
    <w:bookmarkStart w:id="68" w:name="resource-estimates"/>
    <w:p>
      <w:pPr>
        <w:pStyle w:val="Heading3"/>
      </w:pPr>
      <w:r>
        <w:t xml:space="preserve">Resource estimates</w:t>
      </w:r>
    </w:p>
    <w:p>
      <w:pPr>
        <w:pStyle w:val="FirstParagraph"/>
      </w:pPr>
      <w:r>
        <w:rPr>
          <w:b/>
          <w:bCs/>
        </w:rPr>
        <w:t xml:space="preserve">Storage</w:t>
      </w:r>
      <w:r>
        <w:br/>
      </w:r>
      <w:r>
        <w:t xml:space="preserve">A practical planning heuristic:</w:t>
      </w:r>
      <w:r>
        <w:t xml:space="preserve"> </w:t>
      </w:r>
      <w:r>
        <w:t xml:space="preserve">- Sentinel-1 IW SLC ≈</w:t>
      </w:r>
      <w:r>
        <w:t xml:space="preserve"> </w:t>
      </w:r>
      <w:r>
        <w:rPr>
          <w:b/>
          <w:bCs/>
        </w:rPr>
        <w:t xml:space="preserve">8 GB/product</w:t>
      </w:r>
      <w:r>
        <w:t xml:space="preserve"> </w:t>
      </w:r>
      <w:r>
        <w:t xml:space="preserve">(typical) → storage scales quickly with number of acquisitions.</w:t>
      </w:r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  <w:r>
        <w:br/>
      </w:r>
      <w:r>
        <w:t xml:space="preserve">- Store at least three tiers: raw scenes, processed features (if cached), and patch datasets.</w:t>
      </w:r>
    </w:p>
    <w:p>
      <w:pPr>
        <w:pStyle w:val="BodyText"/>
      </w:pPr>
      <w:r>
        <w:t xml:space="preserve">A simple estimate: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S_total ≈ N_scenes * (S_raw + S_processed_cache) + N_patches * S_patch</w:t>
      </w:r>
      <w:r>
        <w:t xml:space="preserve"> </w:t>
      </w:r>
      <w:r>
        <w:t xml:space="preserve">- If processed cache is avoided (recompute-on-demand), storage drops but compute rises.</w:t>
      </w:r>
    </w:p>
    <w:p>
      <w:pPr>
        <w:pStyle w:val="BodyText"/>
      </w:pPr>
      <w:r>
        <w:rPr>
          <w:b/>
          <w:bCs/>
        </w:rPr>
        <w:t xml:space="preserve">Compute (training)</w:t>
      </w:r>
      <w:r>
        <w:br/>
      </w:r>
      <w:r>
        <w:t xml:space="preserve">Compute needs depend on patch counts, feature stack width (VV/VH + derived bands + biophysical stack), and model size:</w:t>
      </w:r>
      <w:r>
        <w:t xml:space="preserve"> </w:t>
      </w:r>
      <w:r>
        <w:t xml:space="preserve">- Baseline U-Net training can be done on a single modern GPU if patch counts are moderate, but SSL pretraining and large-scale fine-tuning benefit from multi-GPU or long runtimes. SSL4EO-style pretraining is explicitly motivated by large unlabeled corpora.</w:t>
      </w:r>
      <w:r>
        <w:t xml:space="preserve"> </w:t>
      </w:r>
      <w:hyperlink r:id="rId41">
        <w:r>
          <w:rPr>
            <w:rStyle w:val="Hyperlink"/>
          </w:rPr>
          <w:t xml:space="preserve">[24]</w:t>
        </w:r>
      </w:hyperlink>
      <w:r>
        <w:br/>
      </w:r>
      <w:r>
        <w:t xml:space="preserve">- Drift simulation cost is usually modest compared to deep learning training (particle ensembles are CPU-friendly but scale with ensemble size and number of seeds).</w:t>
      </w:r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b/>
          <w:bCs/>
        </w:rPr>
        <w:t xml:space="preserve">Annotation effort</w:t>
      </w:r>
      <w:r>
        <w:br/>
      </w:r>
      <w:r>
        <w:t xml:space="preserve">Define annotation as two stages:</w:t>
      </w:r>
      <w:r>
        <w:t xml:space="preserve"> </w:t>
      </w:r>
      <w:r>
        <w:t xml:space="preserve">1) confirm presence/absence inside drift box (fast), then</w:t>
      </w:r>
      <w:r>
        <w:t xml:space="preserve"> </w:t>
      </w:r>
      <w:r>
        <w:t xml:space="preserve">2) (if present) draw accurate mask (slow).</w:t>
      </w:r>
    </w:p>
    <w:p>
      <w:pPr>
        <w:pStyle w:val="BodyText"/>
      </w:pPr>
      <w:r>
        <w:t xml:space="preserve">Use scenario planning: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N_candidates</w:t>
      </w:r>
      <w:r>
        <w:t xml:space="preserve"> </w:t>
      </w:r>
      <w:r>
        <w:t xml:space="preserve">candidates are reviewed at</w:t>
      </w:r>
      <w:r>
        <w:t xml:space="preserve"> </w:t>
      </w:r>
      <w:r>
        <w:rPr>
          <w:rStyle w:val="VerbatimChar"/>
        </w:rPr>
        <w:t xml:space="preserve">t_box</w:t>
      </w:r>
      <w:r>
        <w:t xml:space="preserve"> </w:t>
      </w:r>
      <w:r>
        <w:t xml:space="preserve">minutes each, plus</w:t>
      </w:r>
      <w:r>
        <w:t xml:space="preserve"> </w:t>
      </w:r>
      <w:r>
        <w:rPr>
          <w:rStyle w:val="VerbatimChar"/>
        </w:rPr>
        <w:t xml:space="preserve">N_masks</w:t>
      </w:r>
      <w:r>
        <w:t xml:space="preserve"> </w:t>
      </w:r>
      <w:r>
        <w:t xml:space="preserve">masks at</w:t>
      </w:r>
      <w:r>
        <w:t xml:space="preserve"> </w:t>
      </w:r>
      <w:r>
        <w:rPr>
          <w:rStyle w:val="VerbatimChar"/>
        </w:rPr>
        <w:t xml:space="preserve">t_mask</w:t>
      </w:r>
      <w:r>
        <w:t xml:space="preserve"> </w:t>
      </w:r>
      <w:r>
        <w:t xml:space="preserve">minutes each:</w:t>
      </w:r>
      <w:r>
        <w:br/>
      </w:r>
      <w:r>
        <w:rPr>
          <w:rStyle w:val="VerbatimChar"/>
        </w:rPr>
        <w:t xml:space="preserve">Hours ≈ (N_candidates*t_box + N_masks*t_mask) / 60</w:t>
      </w:r>
      <w:r>
        <w:t xml:space="preserve">.</w:t>
      </w:r>
    </w:p>
    <w:p>
      <w:pPr>
        <w:pStyle w:val="BodyText"/>
      </w:pPr>
      <w:r>
        <w:t xml:space="preserve">Active learning should reduce</w:t>
      </w:r>
      <w:r>
        <w:t xml:space="preserve"> </w:t>
      </w:r>
      <w:r>
        <w:rPr>
          <w:rStyle w:val="VerbatimChar"/>
        </w:rPr>
        <w:t xml:space="preserve">N_candidates</w:t>
      </w:r>
      <w:r>
        <w:t xml:space="preserve"> </w:t>
      </w:r>
      <w:r>
        <w:t xml:space="preserve">over cycles by focusing on ambiguous/high-value patches.</w:t>
      </w:r>
      <w:r>
        <w:t xml:space="preserve"> </w:t>
      </w:r>
      <w:hyperlink r:id="rId27">
        <w:r>
          <w:rPr>
            <w:rStyle w:val="Hyperlink"/>
          </w:rPr>
          <w:t xml:space="preserve">[60]</w:t>
        </w:r>
      </w:hyperlink>
    </w:p>
    <w:bookmarkEnd w:id="68"/>
    <w:bookmarkStart w:id="69" w:name="risks-and-mitigations"/>
    <w:p>
      <w:pPr>
        <w:pStyle w:val="Heading3"/>
      </w:pPr>
      <w:r>
        <w:t xml:space="preserve">Risks and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uncertainty too large for useful SAR search (high Δt, poor forcing)</w:t>
            </w:r>
          </w:p>
        </w:tc>
        <w:tc>
          <w:tcPr/>
          <w:p>
            <w:pPr>
              <w:pStyle w:val="Compact"/>
            </w:pPr>
            <w:r>
              <w:t xml:space="preserve">Bounding boxes grow; SAR search becomes impractical</w:t>
            </w:r>
          </w:p>
        </w:tc>
        <w:tc>
          <w:tcPr/>
          <w:p>
            <w:pPr>
              <w:pStyle w:val="Compact"/>
            </w:pPr>
            <w:r>
              <w:t xml:space="preserve">Split regimes by Δt; focus on low/medium Δt first; add higher revisit optical (Planet-class) as “bridge”; use ensemble calibration with drifters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SAR signatures too weak or confusable</w:t>
            </w:r>
          </w:p>
        </w:tc>
        <w:tc>
          <w:tcPr/>
          <w:p>
            <w:pPr>
              <w:pStyle w:val="Compact"/>
            </w:pPr>
            <w:r>
              <w:t xml:space="preserve">Label noise increases; training collapses</w:t>
            </w:r>
          </w:p>
        </w:tc>
        <w:tc>
          <w:tcPr/>
          <w:p>
            <w:pPr>
              <w:pStyle w:val="Compact"/>
            </w:pPr>
            <w:r>
              <w:t xml:space="preserve">Introduce multi-class confusers (from optical datasets like MARIDA); enforce strict gold audit set; incorporate biophysical context into model inputs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Weak supervision rules overfit and create systematic bias</w:t>
            </w:r>
          </w:p>
        </w:tc>
        <w:tc>
          <w:tcPr/>
          <w:p>
            <w:pPr>
              <w:pStyle w:val="Compact"/>
            </w:pPr>
            <w:r>
              <w:t xml:space="preserve">Model learns artifacts; poor generalization</w:t>
            </w:r>
          </w:p>
        </w:tc>
        <w:tc>
          <w:tcPr/>
          <w:p>
            <w:pPr>
              <w:pStyle w:val="Compact"/>
            </w:pPr>
            <w:r>
              <w:t xml:space="preserve">Use Snorkel probabilistic labels + gold validation; track LF coverage/conflict; retire poor LFs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Monitoring produces too many false alarms</w:t>
            </w:r>
          </w:p>
        </w:tc>
        <w:tc>
          <w:tcPr/>
          <w:p>
            <w:pPr>
              <w:pStyle w:val="Compact"/>
            </w:pPr>
            <w:r>
              <w:t xml:space="preserve">Operationally unusable; wasted time</w:t>
            </w:r>
          </w:p>
        </w:tc>
        <w:tc>
          <w:tcPr/>
          <w:p>
            <w:pPr>
              <w:pStyle w:val="Compact"/>
            </w:pPr>
            <w:r>
              <w:t xml:space="preserve">Evaluate detectors with detection delay/false alarm metrics; require persistence criteria (K-of-N rule)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Data volume overwhelms storage/IO</w:t>
            </w:r>
          </w:p>
        </w:tc>
        <w:tc>
          <w:tcPr/>
          <w:p>
            <w:pPr>
              <w:pStyle w:val="Compact"/>
            </w:pPr>
            <w:r>
              <w:t xml:space="preserve">Pipeline becomes fragile</w:t>
            </w:r>
          </w:p>
        </w:tc>
        <w:tc>
          <w:tcPr/>
          <w:p>
            <w:pPr>
              <w:pStyle w:val="Compact"/>
            </w:pPr>
            <w:r>
              <w:t xml:space="preserve">Patch-first strategy; avoid caching everything; compress intermediate rasters; prioritize scenes with label utility (matched times)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[28]</w:t>
              </w:r>
            </w:hyperlink>
          </w:p>
        </w:tc>
      </w:tr>
    </w:tbl>
    <w:bookmarkEnd w:id="69"/>
    <w:bookmarkStart w:id="70" w:name="success-criteria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This project needs explicit, measurable “done” conditions:</w:t>
      </w:r>
    </w:p>
    <w:p>
      <w:pPr>
        <w:pStyle w:val="BodyText"/>
      </w:pPr>
      <w:r>
        <w:rPr>
          <w:b/>
          <w:bCs/>
        </w:rPr>
        <w:t xml:space="preserve">Transport drift model</w:t>
      </w:r>
      <w:r>
        <w:t xml:space="preserve"> </w:t>
      </w:r>
      <w:r>
        <w:t xml:space="preserve">- For low/medium Δt cases: median centroid error below a project-defined threshold (set after pilot; report as meters/km), and calibrated uncertainty regions (e.g., 90% region contains ≥80–90% of observed centroids). (Progress update: Pretorius, 2026)</w:t>
      </w:r>
    </w:p>
    <w:p>
      <w:pPr>
        <w:pStyle w:val="BodyText"/>
      </w:pPr>
      <w:r>
        <w:rPr>
          <w:b/>
          <w:bCs/>
        </w:rPr>
        <w:t xml:space="preserve">Label creation</w:t>
      </w:r>
      <w:r>
        <w:t xml:space="preserve"> </w:t>
      </w:r>
      <w:r>
        <w:t xml:space="preserve">- A gold set of at least O(50–200) SAR patches (size depends on feasibility) with expert-reviewed masks.</w:t>
      </w:r>
      <w:r>
        <w:t xml:space="preserve"> </w:t>
      </w:r>
      <w:r>
        <w:t xml:space="preserve">- A silver set ≥5× larger than gold, with provenance recorded and label-noise audits performed.</w:t>
      </w:r>
      <w:r>
        <w:t xml:space="preserve"> </w:t>
      </w:r>
      <w:hyperlink r:id="rId21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SAR detection model</w:t>
      </w:r>
      <w:r>
        <w:t xml:space="preserve"> </w:t>
      </w:r>
      <w:r>
        <w:t xml:space="preserve">- Demonstrable improvement across iterations on gold set using segmentation metrics (mIoU/Dice/F1) and calibrated uncertainty; the exact threshold must be set after the first baseline run because task difficulty is unknown.</w:t>
      </w:r>
      <w:r>
        <w:t xml:space="preserve"> </w:t>
      </w:r>
      <w:hyperlink r:id="rId30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rPr>
          <w:b/>
          <w:bCs/>
        </w:rPr>
        <w:t xml:space="preserve">Monitoring</w:t>
      </w:r>
      <w:r>
        <w:t xml:space="preserve"> </w:t>
      </w:r>
      <w:r>
        <w:t xml:space="preserve">- Drift alarms correlate with measurable changes (distribution shifts or degraded performance) and maintain an acceptable false alarm rate under retrospective testing.</w:t>
      </w:r>
      <w:r>
        <w:t xml:space="preserve"> </w:t>
      </w:r>
      <w:hyperlink r:id="rId29">
        <w:r>
          <w:rPr>
            <w:rStyle w:val="Hyperlink"/>
          </w:rPr>
          <w:t xml:space="preserve">[65]</w:t>
        </w:r>
      </w:hyperlink>
    </w:p>
    <w:bookmarkEnd w:id="70"/>
    <w:bookmarkStart w:id="72" w:name="recommended-next-steps"/>
    <w:p>
      <w:pPr>
        <w:pStyle w:val="Heading3"/>
      </w:pPr>
      <w:r>
        <w:t xml:space="preserve">Recommended next steps</w:t>
      </w:r>
    </w:p>
    <w:p>
      <w:pPr>
        <w:pStyle w:val="FirstParagraph"/>
      </w:pPr>
      <w:r>
        <w:t xml:space="preserve">1) Freeze the</w:t>
      </w:r>
      <w:r>
        <w:t xml:space="preserve"> </w:t>
      </w:r>
      <w:r>
        <w:rPr>
          <w:b/>
          <w:bCs/>
        </w:rPr>
        <w:t xml:space="preserve">label schema</w:t>
      </w:r>
      <w:r>
        <w:t xml:space="preserve"> </w:t>
      </w:r>
      <w:r>
        <w:t xml:space="preserve">(binary vs multi-class, mask vs box) and define annotation rules and QA checks before scaling any labeling.</w:t>
      </w:r>
      <w:r>
        <w:t xml:space="preserve"> </w:t>
      </w:r>
      <w:hyperlink r:id="rId30">
        <w:r>
          <w:rPr>
            <w:rStyle w:val="Hyperlink"/>
          </w:rPr>
          <w:t xml:space="preserve">[66]</w:t>
        </w:r>
      </w:hyperlink>
      <w:r>
        <w:br/>
      </w:r>
      <w:r>
        <w:t xml:space="preserve">2) Implement an OpenDrift prototype that outputs</w:t>
      </w:r>
      <w:r>
        <w:t xml:space="preserve"> </w:t>
      </w:r>
      <w:r>
        <w:rPr>
          <w:b/>
          <w:bCs/>
        </w:rPr>
        <w:t xml:space="preserve">(a) uncertainty boxes and (b) probability rasters</w:t>
      </w:r>
      <w:r>
        <w:t xml:space="preserve">, and validate quickly on optical-to-optical transitions (S2→S2 or Planet→Planet) before attempting SAR transfer.</w:t>
      </w:r>
      <w:r>
        <w:t xml:space="preserve"> </w:t>
      </w:r>
      <w:hyperlink r:id="rId23">
        <w:r>
          <w:rPr>
            <w:rStyle w:val="Hyperlink"/>
          </w:rPr>
          <w:t xml:space="preserve">[67]</w:t>
        </w:r>
      </w:hyperlink>
      <w:r>
        <w:br/>
      </w:r>
      <w:r>
        <w:t xml:space="preserve">3) Build a small</w:t>
      </w:r>
      <w:r>
        <w:t xml:space="preserve"> </w:t>
      </w:r>
      <w:r>
        <w:rPr>
          <w:b/>
          <w:bCs/>
        </w:rPr>
        <w:t xml:space="preserve">gold SAR set</w:t>
      </w:r>
      <w:r>
        <w:t xml:space="preserve"> </w:t>
      </w:r>
      <w:r>
        <w:t xml:space="preserve">from low Δt matches (manual search starting at the optical location) to anchor both the cross-modal matcher and the first SAR detector. (Progress update: Pretorius, 2026)</w:t>
      </w:r>
      <w:r>
        <w:br/>
      </w:r>
      <w:r>
        <w:t xml:space="preserve">4) Stand up Label Studio with drift overlays, and begin capturing provenance + annotator confidence from day one.</w:t>
      </w:r>
      <w:r>
        <w:t xml:space="preserve"> </w:t>
      </w:r>
      <w:hyperlink r:id="rId71">
        <w:r>
          <w:rPr>
            <w:rStyle w:val="Hyperlink"/>
          </w:rPr>
          <w:t xml:space="preserve">[68]</w:t>
        </w:r>
      </w:hyperlink>
      <w:r>
        <w:br/>
      </w:r>
      <w:r>
        <w:t xml:space="preserve">5) Add drift monitoring signals early (even before model maturity) so baseline distributions are recorded and later changes can be detected reliably.</w:t>
      </w:r>
      <w:r>
        <w:t xml:space="preserve"> </w:t>
      </w:r>
      <w:hyperlink r:id="rId26">
        <w:r>
          <w:rPr>
            <w:rStyle w:val="Hyperlink"/>
          </w:rPr>
          <w:t xml:space="preserve">[69]</w:t>
        </w:r>
      </w:hyperlink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Pretorius, J. (2025)</w:t>
      </w:r>
      <w:r>
        <w:t xml:space="preserve"> </w:t>
      </w:r>
      <w:r>
        <w:rPr>
          <w:i/>
          <w:iCs/>
        </w:rPr>
        <w:t xml:space="preserve">Developing a synthetic aperture radar-based dataset and machine learning model for the detection of floating marine plastics in the South African exclusive economic zone</w:t>
      </w:r>
      <w:r>
        <w:t xml:space="preserve">. Research proposal (unpublished), University of Pretoria</w:t>
      </w:r>
      <w:hyperlink r:id="rId26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BodyText"/>
      </w:pPr>
      <w:r>
        <w:t xml:space="preserve">Pretorius, J. (2026)</w:t>
      </w:r>
      <w:r>
        <w:t xml:space="preserve"> </w:t>
      </w:r>
      <w:r>
        <w:rPr>
          <w:i/>
          <w:iCs/>
        </w:rPr>
        <w:t xml:space="preserve">Progress Report</w:t>
      </w:r>
      <w:r>
        <w:t xml:space="preserve"> </w:t>
      </w:r>
      <w:r>
        <w:t xml:space="preserve">(19/02/2026). Progress update document (unpublished).</w:t>
      </w:r>
    </w:p>
    <w:p>
      <w:pPr>
        <w:pStyle w:val="BodyText"/>
      </w:pPr>
      <w:r>
        <w:t xml:space="preserve">Biermann, L.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(2020) ‘Finding Plastic Patches in Coastal Waters using Optical Satellite Data’,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10, article 5364. DOI: 10.1038/s41598-020-62298-z.</w:t>
      </w:r>
      <w:r>
        <w:t xml:space="preserve"> </w:t>
      </w:r>
      <w:hyperlink r:id="rId24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t xml:space="preserve">Kikaki, K.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(2022) ‘MARIDA: A benchmark for Marine Debris detection from Sentinel-2 remote sensing data’,</w:t>
      </w:r>
      <w:r>
        <w:t xml:space="preserve"> </w:t>
      </w:r>
      <w:r>
        <w:rPr>
          <w:i/>
          <w:iCs/>
        </w:rPr>
        <w:t xml:space="preserve">PLOS ONE</w:t>
      </w:r>
      <w:r>
        <w:t xml:space="preserve">, 17(1), e0262247. DOI: 10.1371/journal.pone.0262247.</w:t>
      </w:r>
      <w:r>
        <w:t xml:space="preserve"> </w:t>
      </w:r>
      <w:hyperlink r:id="rId30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t xml:space="preserve">Themistocleous, K.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(2020) ‘Investigating Detection of Floating Plastic Litter from Space using Sentinel-2 Imagery’,</w:t>
      </w:r>
      <w:r>
        <w:t xml:space="preserve"> </w:t>
      </w:r>
      <w:r>
        <w:rPr>
          <w:i/>
          <w:iCs/>
        </w:rPr>
        <w:t xml:space="preserve">Remote Sensing</w:t>
      </w:r>
      <w:r>
        <w:t xml:space="preserve">, 12(16), 2648. DOI: 10.3390/rs12162648.</w:t>
      </w:r>
      <w:r>
        <w:t xml:space="preserve"> </w:t>
      </w:r>
      <w:hyperlink r:id="rId74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t xml:space="preserve">Dagestad, K.-F.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(2017) ‘OpenDrift v1.0: a generic framework for trajectory modeling’, (technical paper/report).</w:t>
      </w:r>
      <w:r>
        <w:t xml:space="preserve"> </w:t>
      </w:r>
      <w:hyperlink r:id="rId75">
        <w:r>
          <w:rPr>
            <w:rStyle w:val="Hyperlink"/>
          </w:rPr>
          <w:t xml:space="preserve">[73]</w:t>
        </w:r>
      </w:hyperlink>
    </w:p>
    <w:p>
      <w:pPr>
        <w:pStyle w:val="BodyText"/>
      </w:pPr>
      <w:r>
        <w:t xml:space="preserve">Delandmeter, P. and van Sebille, E. (2019) ‘The Parcels v2.0 Lagrangian framework’,</w:t>
      </w:r>
      <w:r>
        <w:t xml:space="preserve"> </w:t>
      </w:r>
      <w:r>
        <w:rPr>
          <w:i/>
          <w:iCs/>
        </w:rPr>
        <w:t xml:space="preserve">Geoscientific Model Development</w:t>
      </w:r>
      <w:r>
        <w:t xml:space="preserve">, 12, 3571–3588. DOI: 10.5194/gmd-12-3571-2019.</w:t>
      </w:r>
      <w:r>
        <w:t xml:space="preserve"> </w:t>
      </w:r>
      <w:hyperlink r:id="rId76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t xml:space="preserve">Cernian, A. and Iliuta, M.-E. (2025) ‘The DEEP-PLAST approach to marine plastic detection and trajectory prediction for the Black Sea’,</w:t>
      </w:r>
      <w:r>
        <w:t xml:space="preserve"> </w:t>
      </w:r>
      <w:r>
        <w:rPr>
          <w:i/>
          <w:iCs/>
        </w:rPr>
        <w:t xml:space="preserve">Water</w:t>
      </w:r>
      <w:r>
        <w:t xml:space="preserve">, 17(22), 3318. DOI: 10.3390/w17223318.</w:t>
      </w:r>
      <w:r>
        <w:t xml:space="preserve"> </w:t>
      </w:r>
      <w:hyperlink r:id="rId33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Ratner, A.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(2017) ‘Snorkel: Rapid Training Data Creation with Weak Supervision’, arXiv:1711.10160.</w:t>
      </w:r>
      <w:r>
        <w:t xml:space="preserve"> </w:t>
      </w:r>
      <w:hyperlink r:id="rId34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t xml:space="preserve">Ratner, A.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(2019) ‘Snorkel: rapid training data creation with weak supervision’,</w:t>
      </w:r>
      <w:r>
        <w:t xml:space="preserve"> </w:t>
      </w:r>
      <w:r>
        <w:rPr>
          <w:i/>
          <w:iCs/>
        </w:rPr>
        <w:t xml:space="preserve">Journal of Machine Learning Research / system paper (PMC version)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t xml:space="preserve">Hinder, F.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 ‘One or two things we know about concept drift—a survey…’,</w:t>
      </w:r>
      <w:r>
        <w:t xml:space="preserve"> </w:t>
      </w:r>
      <w:r>
        <w:rPr>
          <w:i/>
          <w:iCs/>
        </w:rPr>
        <w:t xml:space="preserve">Frontiers in Artificial Intelligence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t xml:space="preserve">Lipton, Z.C., Wang, Y.-X. and Smola, A. (2018) ‘Detecting and Correcting for Label Shift with Black Box Predictors’,</w:t>
      </w:r>
      <w:r>
        <w:t xml:space="preserve"> </w:t>
      </w:r>
      <w:r>
        <w:rPr>
          <w:i/>
          <w:iCs/>
        </w:rPr>
        <w:t xml:space="preserve">Proceedings of ICML (PMLR)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t xml:space="preserve">Northcutt, C.G.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(2021/2022 versions) ‘Confident Learning’, arXiv:1911.00068.</w:t>
      </w:r>
      <w:r>
        <w:t xml:space="preserve"> </w:t>
      </w:r>
      <w:hyperlink r:id="rId21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t xml:space="preserve">Wang, Y.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(2022/2023) ‘SSL4EO-S12…’, arXiv:2211.07044 / IEEE GRSM software+dataset article.</w:t>
      </w:r>
      <w:r>
        <w:t xml:space="preserve"> </w:t>
      </w:r>
      <w:hyperlink r:id="rId41">
        <w:r>
          <w:rPr>
            <w:rStyle w:val="Hyperlink"/>
          </w:rPr>
          <w:t xml:space="preserve">[80]</w:t>
        </w:r>
      </w:hyperlink>
    </w:p>
    <w:p>
      <w:pPr>
        <w:pStyle w:val="BodyText"/>
      </w:pPr>
      <w:r>
        <w:t xml:space="preserve">Oktay, O.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(2018) ‘Attention U-Net’, arXiv:1804.03999.</w:t>
      </w:r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Official documentation and product pages (URLs provided in the citations): OpenDrift, Parcels, Copernicus Marine products, Sentinel mission pages, Label Studio docs, Alibi Detect, River, NannyML, NOAA Global Drifter Program.</w:t>
      </w:r>
      <w:r>
        <w:t xml:space="preserve"> </w:t>
      </w:r>
      <w:hyperlink r:id="rId23">
        <w:r>
          <w:rPr>
            <w:rStyle w:val="Hyperlink"/>
          </w:rPr>
          <w:t xml:space="preserve">[81]</w:t>
        </w:r>
      </w:hyperlink>
    </w:p>
    <w:bookmarkEnd w:id="77"/>
    <w:bookmarkEnd w:id="78"/>
    <w:bookmarkEnd w:id="79"/>
    <w:p>
      <w:r>
        <w:pict>
          <v:rect style="width:0;height:1.5pt" o:hralign="center" o:hrstd="t" o:hr="t"/>
        </w:pict>
      </w:r>
    </w:p>
    <w:bookmarkStart w:id="8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[46]</w:t>
        </w:r>
      </w:hyperlink>
      <w:r>
        <w:t xml:space="preserve"> </w:t>
      </w:r>
      <w:hyperlink r:id="rId21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https://arxiv.org/pdf/1911.00068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https://arxiv.org/pdf/1911.00068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https://www.mdpi.com/2072-4292/13/22/4622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https://www.mdpi.com/2072-4292/13/22/4622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t xml:space="preserve"> </w:t>
      </w:r>
      <w:hyperlink r:id="rId23">
        <w:r>
          <w:rPr>
            <w:rStyle w:val="Hyperlink"/>
          </w:rPr>
          <w:t xml:space="preserve">[67]</w:t>
        </w:r>
      </w:hyperlink>
      <w:r>
        <w:t xml:space="preserve"> </w:t>
      </w:r>
      <w:hyperlink r:id="rId23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https://opendrift.github.io/</w:t>
      </w:r>
    </w:p>
    <w:p>
      <w:pPr>
        <w:pStyle w:val="BodyText"/>
      </w:pPr>
      <w:hyperlink r:id="rId23">
        <w:r>
          <w:rPr>
            <w:rStyle w:val="Hyperlink"/>
          </w:rPr>
          <w:t xml:space="preserve">https://opendrift.github.io/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[10]</w:t>
        </w:r>
      </w:hyperlink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  <w:r>
        <w:t xml:space="preserve"> </w:t>
      </w:r>
      <w:hyperlink r:id="rId24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https://www.nature.com/articles/s41598-020-62298-z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https://www.nature.com/articles/s41598-020-62298-z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[36]</w:t>
        </w:r>
      </w:hyperlink>
      <w:r>
        <w:t xml:space="preserve"> </w:t>
      </w:r>
      <w:hyperlink r:id="rId25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https://www.aoml.noaa.gov/global-drifter-program/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https://www.aoml.noaa.gov/global-drifter-program/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[12]</w:t>
        </w:r>
      </w:hyperlink>
      <w:r>
        <w:t xml:space="preserve"> </w:t>
      </w: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hyperlink r:id="rId26">
        <w:r>
          <w:rPr>
            <w:rStyle w:val="Hyperlink"/>
          </w:rPr>
          <w:t xml:space="preserve">[32]</w:t>
        </w:r>
      </w:hyperlink>
      <w:r>
        <w:t xml:space="preserve"> </w:t>
      </w:r>
      <w:hyperlink r:id="rId26">
        <w:r>
          <w:rPr>
            <w:rStyle w:val="Hyperlink"/>
          </w:rPr>
          <w:t xml:space="preserve">[39]</w:t>
        </w:r>
      </w:hyperlink>
      <w:r>
        <w:t xml:space="preserve"> </w:t>
      </w:r>
      <w:hyperlink r:id="rId26">
        <w:r>
          <w:rPr>
            <w:rStyle w:val="Hyperlink"/>
          </w:rPr>
          <w:t xml:space="preserve">[53]</w:t>
        </w:r>
      </w:hyperlink>
      <w:r>
        <w:t xml:space="preserve"> </w:t>
      </w:r>
      <w:hyperlink r:id="rId26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https://docs.seldon.ai/alibi-detect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https://docs.seldon.ai/alibi-detect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[44]</w:t>
        </w:r>
      </w:hyperlink>
      <w:r>
        <w:t xml:space="preserve"> </w:t>
      </w:r>
      <w:hyperlink r:id="rId27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https://arxiv.org/pdf/2405.00334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https://arxiv.org/pdf/2405.00334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[35]</w:t>
        </w:r>
      </w:hyperlink>
      <w:r>
        <w:t xml:space="preserve"> </w:t>
      </w:r>
      <w:hyperlink r:id="rId29">
        <w:r>
          <w:rPr>
            <w:rStyle w:val="Hyperlink"/>
          </w:rPr>
          <w:t xml:space="preserve">[42]</w:t>
        </w:r>
      </w:hyperlink>
      <w:r>
        <w:t xml:space="preserve"> </w:t>
      </w:r>
      <w:hyperlink r:id="rId29">
        <w:r>
          <w:rPr>
            <w:rStyle w:val="Hyperlink"/>
          </w:rPr>
          <w:t xml:space="preserve">[63]</w:t>
        </w:r>
      </w:hyperlink>
      <w:r>
        <w:t xml:space="preserve"> </w:t>
      </w:r>
      <w:hyperlink r:id="rId29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https://www.mdpi.com/1999-5903/15/5/169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https://www.mdpi.com/1999-5903/15/5/169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[18]</w:t>
        </w:r>
      </w:hyperlink>
      <w:r>
        <w:t xml:space="preserve"> </w:t>
      </w:r>
      <w:hyperlink r:id="rId30">
        <w:r>
          <w:rPr>
            <w:rStyle w:val="Hyperlink"/>
          </w:rPr>
          <w:t xml:space="preserve">[25]</w:t>
        </w:r>
      </w:hyperlink>
      <w:r>
        <w:t xml:space="preserve"> </w:t>
      </w:r>
      <w:hyperlink r:id="rId30">
        <w:r>
          <w:rPr>
            <w:rStyle w:val="Hyperlink"/>
          </w:rPr>
          <w:t xml:space="preserve">[50]</w:t>
        </w:r>
      </w:hyperlink>
      <w:r>
        <w:t xml:space="preserve"> </w:t>
      </w:r>
      <w:hyperlink r:id="rId30">
        <w:r>
          <w:rPr>
            <w:rStyle w:val="Hyperlink"/>
          </w:rPr>
          <w:t xml:space="preserve">[62]</w:t>
        </w:r>
      </w:hyperlink>
      <w:r>
        <w:t xml:space="preserve"> </w:t>
      </w:r>
      <w:hyperlink r:id="rId30">
        <w:r>
          <w:rPr>
            <w:rStyle w:val="Hyperlink"/>
          </w:rPr>
          <w:t xml:space="preserve">[64]</w:t>
        </w:r>
      </w:hyperlink>
      <w:r>
        <w:t xml:space="preserve"> </w:t>
      </w:r>
      <w:hyperlink r:id="rId30">
        <w:r>
          <w:rPr>
            <w:rStyle w:val="Hyperlink"/>
          </w:rPr>
          <w:t xml:space="preserve">[66]</w:t>
        </w:r>
      </w:hyperlink>
      <w:r>
        <w:t xml:space="preserve"> </w:t>
      </w:r>
      <w:hyperlink r:id="rId30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https://journals.plos.org/plosone/article?id=10.1371%2Fjournal.pone.0262247</w:t>
      </w:r>
    </w:p>
    <w:p>
      <w:pPr>
        <w:pStyle w:val="BodyText"/>
      </w:pPr>
      <w:hyperlink r:id="rId30">
        <w:r>
          <w:rPr>
            <w:rStyle w:val="Hyperlink"/>
          </w:rPr>
          <w:t xml:space="preserve">https://journals.plos.org/plosone/article?id=10.1371%2Fjournal.pone.0262247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https://riverml.xyz/0.7.0/api/drift/ADWIN/</w:t>
      </w:r>
    </w:p>
    <w:p>
      <w:pPr>
        <w:pStyle w:val="BodyText"/>
      </w:pPr>
      <w:hyperlink r:id="rId31">
        <w:r>
          <w:rPr>
            <w:rStyle w:val="Hyperlink"/>
          </w:rPr>
          <w:t xml:space="preserve">https://riverml.xyz/0.7.0/api/drift/ADWIN/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https://labelstud.io/guide/get_started.html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https://labelstud.io/guide/get_started.html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[37]</w:t>
        </w:r>
      </w:hyperlink>
      <w:r>
        <w:t xml:space="preserve"> </w:t>
      </w:r>
      <w:hyperlink r:id="rId3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https://www.mdpi.com/2073-4441/17/22/3318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https://www.mdpi.com/2073-4441/17/22/3318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4">
        <w:r>
          <w:rPr>
            <w:rStyle w:val="Hyperlink"/>
          </w:rPr>
          <w:t xml:space="preserve">[30]</w:t>
        </w:r>
      </w:hyperlink>
      <w:r>
        <w:t xml:space="preserve"> </w:t>
      </w:r>
      <w:hyperlink r:id="rId34">
        <w:r>
          <w:rPr>
            <w:rStyle w:val="Hyperlink"/>
          </w:rPr>
          <w:t xml:space="preserve">[43]</w:t>
        </w:r>
      </w:hyperlink>
      <w:r>
        <w:t xml:space="preserve"> </w:t>
      </w:r>
      <w:hyperlink r:id="rId34">
        <w:r>
          <w:rPr>
            <w:rStyle w:val="Hyperlink"/>
          </w:rPr>
          <w:t xml:space="preserve">[58]</w:t>
        </w:r>
      </w:hyperlink>
      <w:r>
        <w:t xml:space="preserve"> </w:t>
      </w:r>
      <w:hyperlink r:id="rId34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https://arxiv.org/abs/1711.10160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https://arxiv.org/abs/1711.10160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https://documentation.dataspace.copernicus.eu/Data/Sentinel1.html</w:t>
      </w:r>
    </w:p>
    <w:p>
      <w:pPr>
        <w:pStyle w:val="BodyText"/>
      </w:pPr>
      <w:hyperlink r:id="rId36">
        <w:r>
          <w:rPr>
            <w:rStyle w:val="Hyperlink"/>
          </w:rPr>
          <w:t xml:space="preserve">https://documentation.dataspace.copernicus.eu/Data/Sentinel1.html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https://sentinels.copernicus.eu/sentinel-data-access/sentinel-products/sentinel-2-data-products/collection-1-level-2a</w:t>
      </w:r>
    </w:p>
    <w:p>
      <w:pPr>
        <w:pStyle w:val="BodyText"/>
      </w:pPr>
      <w:hyperlink r:id="rId37">
        <w:r>
          <w:rPr>
            <w:rStyle w:val="Hyperlink"/>
          </w:rPr>
          <w:t xml:space="preserve">https://sentinels.copernicus.eu/sentinel-data-access/sentinel-products/sentinel-2-data-products/collection-1-level-2a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https://data.marine.copernicus.eu/product/GLOBAL_ANALYSISFORECAST_PHY_001_024/description</w:t>
      </w:r>
    </w:p>
    <w:p>
      <w:pPr>
        <w:pStyle w:val="BodyText"/>
      </w:pPr>
      <w:hyperlink r:id="rId38">
        <w:r>
          <w:rPr>
            <w:rStyle w:val="Hyperlink"/>
          </w:rPr>
          <w:t xml:space="preserve">https://data.marine.copernicus.eu/product/GLOBAL_ANALYSISFORECAST_PHY_001_024/description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https://arxiv.org/abs/1804.03999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https://arxiv.org/abs/1804.03999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hyperlink r:id="rId41">
        <w:r>
          <w:rPr>
            <w:rStyle w:val="Hyperlink"/>
          </w:rPr>
          <w:t xml:space="preserve">[45]</w:t>
        </w:r>
      </w:hyperlink>
      <w:r>
        <w:t xml:space="preserve"> </w:t>
      </w:r>
      <w:hyperlink r:id="rId41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https://arxiv.org/abs/2211.07044</w:t>
      </w:r>
    </w:p>
    <w:p>
      <w:pPr>
        <w:pStyle w:val="BodyText"/>
      </w:pPr>
      <w:hyperlink r:id="rId41">
        <w:r>
          <w:rPr>
            <w:rStyle w:val="Hyperlink"/>
          </w:rPr>
          <w:t xml:space="preserve">https://arxiv.org/abs/2211.07044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https://eo4society.esa.int/projects/mireia/</w:t>
      </w:r>
    </w:p>
    <w:p>
      <w:pPr>
        <w:pStyle w:val="BodyText"/>
      </w:pPr>
      <w:hyperlink r:id="rId42">
        <w:r>
          <w:rPr>
            <w:rStyle w:val="Hyperlink"/>
          </w:rPr>
          <w:t xml:space="preserve">https://eo4society.esa.int/projects/mireia/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[27]</w:t>
        </w:r>
      </w:hyperlink>
      <w:r>
        <w:t xml:space="preserve"> </w:t>
      </w:r>
      <w:hyperlink r:id="rId43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https://www.esa.int/Applications/Observing_the_Earth/Copernicus/Sentinel-1/Mission_ends_for_Copernicus_Sentinel-1B_satellite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https://www.esa.int/Applications/Observing_the_Earth/Copernicus/Sentinel-1/Mission_ends_for_Copernicus_Sentinel-1B_satellite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[31]</w:t>
        </w:r>
      </w:hyperlink>
      <w:r>
        <w:t xml:space="preserve"> </w:t>
      </w:r>
      <w:hyperlink r:id="rId46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https://parcels-code.org/</w:t>
      </w:r>
    </w:p>
    <w:p>
      <w:pPr>
        <w:pStyle w:val="BodyText"/>
      </w:pPr>
      <w:hyperlink r:id="rId46">
        <w:r>
          <w:rPr>
            <w:rStyle w:val="Hyperlink"/>
          </w:rPr>
          <w:t xml:space="preserve">https://parcels-code.org/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[33]</w:t>
        </w:r>
      </w:hyperlink>
      <w:r>
        <w:t xml:space="preserve"> </w:t>
      </w:r>
      <w:hyperlink r:id="rId47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https://response.restoration.noaa.gov/sites/default/files/GNOME_Tech_Doc.pdf</w:t>
      </w:r>
    </w:p>
    <w:p>
      <w:pPr>
        <w:pStyle w:val="BodyText"/>
      </w:pPr>
      <w:hyperlink r:id="rId47">
        <w:r>
          <w:rPr>
            <w:rStyle w:val="Hyperlink"/>
          </w:rPr>
          <w:t xml:space="preserve">https://response.restoration.noaa.gov/sites/default/files/GNOME_Tech_Doc.pdf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[34]</w:t>
        </w:r>
      </w:hyperlink>
      <w:r>
        <w:t xml:space="preserve"> </w:t>
      </w:r>
      <w:hyperlink r:id="rId48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https://marine.copernicus.eu/services/use-cases/ocean-plastic-alert-tracking-system-calculating-drift-using-copernicus-marine</w:t>
      </w:r>
    </w:p>
    <w:p>
      <w:pPr>
        <w:pStyle w:val="BodyText"/>
      </w:pPr>
      <w:hyperlink r:id="rId48">
        <w:r>
          <w:rPr>
            <w:rStyle w:val="Hyperlink"/>
          </w:rPr>
          <w:t xml:space="preserve">https://marine.copernicus.eu/services/use-cases/ocean-plastic-alert-tracking-system-calculating-drift-using-copernicus-marine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[38]</w:t>
        </w:r>
      </w:hyperlink>
      <w:r>
        <w:t xml:space="preserve"> </w:t>
      </w:r>
      <w:hyperlink r:id="rId50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https://www.frontiersin.org/journals/artificial-intelligence/articles/10.3389/frai.2024.1330257/full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https://www.frontiersin.org/journals/artificial-intelligence/articles/10.3389/frai.2024.1330257/full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https://riverml.xyz/0.8.0/examples/concept-drift-detection/</w:t>
      </w:r>
    </w:p>
    <w:p>
      <w:pPr>
        <w:pStyle w:val="BodyText"/>
      </w:pPr>
      <w:hyperlink r:id="rId51">
        <w:r>
          <w:rPr>
            <w:rStyle w:val="Hyperlink"/>
          </w:rPr>
          <w:t xml:space="preserve">https://riverml.xyz/0.8.0/examples/concept-drift-detection/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https://nannyml.readthedocs.io/en/latest/landing_page.html</w:t>
      </w:r>
    </w:p>
    <w:p>
      <w:pPr>
        <w:pStyle w:val="BodyText"/>
      </w:pPr>
      <w:hyperlink r:id="rId52">
        <w:r>
          <w:rPr>
            <w:rStyle w:val="Hyperlink"/>
          </w:rPr>
          <w:t xml:space="preserve">https://nannyml.readthedocs.io/en/latest/landing_page.html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[49]</w:t>
        </w:r>
      </w:hyperlink>
      <w:r>
        <w:t xml:space="preserve"> </w:t>
      </w:r>
      <w:hyperlink r:id="rId56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https://pmc.ncbi.nlm.nih.gov/articles/PMC7075849/</w:t>
      </w:r>
    </w:p>
    <w:p>
      <w:pPr>
        <w:pStyle w:val="BodyText"/>
      </w:pPr>
      <w:hyperlink r:id="rId56">
        <w:r>
          <w:rPr>
            <w:rStyle w:val="Hyperlink"/>
          </w:rPr>
          <w:t xml:space="preserve">https://pmc.ncbi.nlm.nih.gov/articles/PMC7075849/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[59]</w:t>
        </w:r>
      </w:hyperlink>
      <w:r>
        <w:t xml:space="preserve"> </w:t>
      </w:r>
      <w:hyperlink r:id="rId59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https://proceedings.mlr.press/v80/lipton18a/lipton18a.pdf</w:t>
      </w:r>
    </w:p>
    <w:p>
      <w:pPr>
        <w:pStyle w:val="BodyText"/>
      </w:pPr>
      <w:hyperlink r:id="rId59">
        <w:r>
          <w:rPr>
            <w:rStyle w:val="Hyperlink"/>
          </w:rPr>
          <w:t xml:space="preserve">https://proceedings.mlr.press/v80/lipton18a/lipton18a.pdf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https://labelstud.io/guide/</w:t>
      </w:r>
    </w:p>
    <w:p>
      <w:pPr>
        <w:pStyle w:val="BodyText"/>
      </w:pPr>
      <w:hyperlink r:id="rId71">
        <w:r>
          <w:rPr>
            <w:rStyle w:val="Hyperlink"/>
          </w:rPr>
          <w:t xml:space="preserve">https://labelstud.io/guide/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https://www.mdpi.com/2072-4292/12/16/2648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https://www.mdpi.com/2072-4292/12/16/2648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https://d-nb.info/1143541367/34</w:t>
      </w:r>
    </w:p>
    <w:p>
      <w:pPr>
        <w:pStyle w:val="BodyText"/>
      </w:pPr>
      <w:hyperlink r:id="rId75">
        <w:r>
          <w:rPr>
            <w:rStyle w:val="Hyperlink"/>
          </w:rPr>
          <w:t xml:space="preserve">https://d-nb.info/1143541367/34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https://gmd.copernicus.org/articles/12/3571/2019/</w:t>
      </w:r>
    </w:p>
    <w:p>
      <w:pPr>
        <w:pStyle w:val="BodyText"/>
      </w:pPr>
      <w:hyperlink r:id="rId76">
        <w:r>
          <w:rPr>
            <w:rStyle w:val="Hyperlink"/>
          </w:rPr>
          <w:t xml:space="preserve">https://gmd.copernicus.org/articles/12/3571/2019/</w:t>
        </w:r>
      </w:hyperlink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arxiv.org/abs/1711.10160" TargetMode="External" /><Relationship Type="http://schemas.openxmlformats.org/officeDocument/2006/relationships/hyperlink" Id="rId40" Target="https://arxiv.org/abs/1804.03999" TargetMode="External" /><Relationship Type="http://schemas.openxmlformats.org/officeDocument/2006/relationships/hyperlink" Id="rId41" Target="https://arxiv.org/abs/2211.07044" TargetMode="External" /><Relationship Type="http://schemas.openxmlformats.org/officeDocument/2006/relationships/hyperlink" Id="rId21" Target="https://arxiv.org/pdf/1911.00068" TargetMode="External" /><Relationship Type="http://schemas.openxmlformats.org/officeDocument/2006/relationships/hyperlink" Id="rId27" Target="https://arxiv.org/pdf/2405.00334" TargetMode="External" /><Relationship Type="http://schemas.openxmlformats.org/officeDocument/2006/relationships/hyperlink" Id="rId75" Target="https://d-nb.info/1143541367/34" TargetMode="External" /><Relationship Type="http://schemas.openxmlformats.org/officeDocument/2006/relationships/hyperlink" Id="rId38" Target="https://data.marine.copernicus.eu/product/GLOBAL_ANALYSISFORECAST_PHY_001_024/description" TargetMode="External" /><Relationship Type="http://schemas.openxmlformats.org/officeDocument/2006/relationships/hyperlink" Id="rId26" Target="https://docs.seldon.ai/alibi-detect" TargetMode="External" /><Relationship Type="http://schemas.openxmlformats.org/officeDocument/2006/relationships/hyperlink" Id="rId36" Target="https://documentation.dataspace.copernicus.eu/Data/Sentinel1.html" TargetMode="External" /><Relationship Type="http://schemas.openxmlformats.org/officeDocument/2006/relationships/hyperlink" Id="rId42" Target="https://eo4society.esa.int/projects/mireia/" TargetMode="External" /><Relationship Type="http://schemas.openxmlformats.org/officeDocument/2006/relationships/hyperlink" Id="rId76" Target="https://gmd.copernicus.org/articles/12/3571/2019/" TargetMode="External" /><Relationship Type="http://schemas.openxmlformats.org/officeDocument/2006/relationships/hyperlink" Id="rId30" Target="https://journals.plos.org/plosone/article?id=10.1371%2Fjournal.pone.0262247" TargetMode="External" /><Relationship Type="http://schemas.openxmlformats.org/officeDocument/2006/relationships/hyperlink" Id="rId71" Target="https://labelstud.io/guide/" TargetMode="External" /><Relationship Type="http://schemas.openxmlformats.org/officeDocument/2006/relationships/hyperlink" Id="rId32" Target="https://labelstud.io/guide/get_started.html" TargetMode="External" /><Relationship Type="http://schemas.openxmlformats.org/officeDocument/2006/relationships/hyperlink" Id="rId48" Target="https://marine.copernicus.eu/services/use-cases/ocean-plastic-alert-tracking-system-calculating-drift-using-copernicus-marine" TargetMode="External" /><Relationship Type="http://schemas.openxmlformats.org/officeDocument/2006/relationships/hyperlink" Id="rId52" Target="https://nannyml.readthedocs.io/en/latest/landing_page.html" TargetMode="External" /><Relationship Type="http://schemas.openxmlformats.org/officeDocument/2006/relationships/hyperlink" Id="rId23" Target="https://opendrift.github.io/" TargetMode="External" /><Relationship Type="http://schemas.openxmlformats.org/officeDocument/2006/relationships/hyperlink" Id="rId46" Target="https://parcels-code.org/" TargetMode="External" /><Relationship Type="http://schemas.openxmlformats.org/officeDocument/2006/relationships/hyperlink" Id="rId56" Target="https://pmc.ncbi.nlm.nih.gov/articles/PMC7075849/" TargetMode="External" /><Relationship Type="http://schemas.openxmlformats.org/officeDocument/2006/relationships/hyperlink" Id="rId59" Target="https://proceedings.mlr.press/v80/lipton18a/lipton18a.pdf" TargetMode="External" /><Relationship Type="http://schemas.openxmlformats.org/officeDocument/2006/relationships/hyperlink" Id="rId47" Target="https://response.restoration.noaa.gov/sites/default/files/GNOME_Tech_Doc.pdf" TargetMode="External" /><Relationship Type="http://schemas.openxmlformats.org/officeDocument/2006/relationships/hyperlink" Id="rId31" Target="https://riverml.xyz/0.7.0/api/drift/ADWIN/" TargetMode="External" /><Relationship Type="http://schemas.openxmlformats.org/officeDocument/2006/relationships/hyperlink" Id="rId51" Target="https://riverml.xyz/0.8.0/examples/concept-drift-detection/" TargetMode="External" /><Relationship Type="http://schemas.openxmlformats.org/officeDocument/2006/relationships/hyperlink" Id="rId37" Target="https://sentinels.copernicus.eu/sentinel-data-access/sentinel-products/sentinel-2-data-products/collection-1-level-2a" TargetMode="External" /><Relationship Type="http://schemas.openxmlformats.org/officeDocument/2006/relationships/hyperlink" Id="rId25" Target="https://www.aoml.noaa.gov/global-drifter-program/" TargetMode="External" /><Relationship Type="http://schemas.openxmlformats.org/officeDocument/2006/relationships/hyperlink" Id="rId43" Target="https://www.esa.int/Applications/Observing_the_Earth/Copernicus/Sentinel-1/Mission_ends_for_Copernicus_Sentinel-1B_satellite" TargetMode="External" /><Relationship Type="http://schemas.openxmlformats.org/officeDocument/2006/relationships/hyperlink" Id="rId50" Target="https://www.frontiersin.org/journals/artificial-intelligence/articles/10.3389/frai.2024.1330257/full" TargetMode="External" /><Relationship Type="http://schemas.openxmlformats.org/officeDocument/2006/relationships/hyperlink" Id="rId29" Target="https://www.mdpi.com/1999-5903/15/5/169" TargetMode="External" /><Relationship Type="http://schemas.openxmlformats.org/officeDocument/2006/relationships/hyperlink" Id="rId74" Target="https://www.mdpi.com/2072-4292/12/16/2648" TargetMode="External" /><Relationship Type="http://schemas.openxmlformats.org/officeDocument/2006/relationships/hyperlink" Id="rId22" Target="https://www.mdpi.com/2072-4292/13/22/4622" TargetMode="External" /><Relationship Type="http://schemas.openxmlformats.org/officeDocument/2006/relationships/hyperlink" Id="rId33" Target="https://www.mdpi.com/2073-4441/17/22/3318" TargetMode="External" /><Relationship Type="http://schemas.openxmlformats.org/officeDocument/2006/relationships/hyperlink" Id="rId24" Target="https://www.nature.com/articles/s41598-020-62298-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arxiv.org/abs/1711.10160" TargetMode="External" /><Relationship Type="http://schemas.openxmlformats.org/officeDocument/2006/relationships/hyperlink" Id="rId40" Target="https://arxiv.org/abs/1804.03999" TargetMode="External" /><Relationship Type="http://schemas.openxmlformats.org/officeDocument/2006/relationships/hyperlink" Id="rId41" Target="https://arxiv.org/abs/2211.07044" TargetMode="External" /><Relationship Type="http://schemas.openxmlformats.org/officeDocument/2006/relationships/hyperlink" Id="rId21" Target="https://arxiv.org/pdf/1911.00068" TargetMode="External" /><Relationship Type="http://schemas.openxmlformats.org/officeDocument/2006/relationships/hyperlink" Id="rId27" Target="https://arxiv.org/pdf/2405.00334" TargetMode="External" /><Relationship Type="http://schemas.openxmlformats.org/officeDocument/2006/relationships/hyperlink" Id="rId75" Target="https://d-nb.info/1143541367/34" TargetMode="External" /><Relationship Type="http://schemas.openxmlformats.org/officeDocument/2006/relationships/hyperlink" Id="rId38" Target="https://data.marine.copernicus.eu/product/GLOBAL_ANALYSISFORECAST_PHY_001_024/description" TargetMode="External" /><Relationship Type="http://schemas.openxmlformats.org/officeDocument/2006/relationships/hyperlink" Id="rId26" Target="https://docs.seldon.ai/alibi-detect" TargetMode="External" /><Relationship Type="http://schemas.openxmlformats.org/officeDocument/2006/relationships/hyperlink" Id="rId36" Target="https://documentation.dataspace.copernicus.eu/Data/Sentinel1.html" TargetMode="External" /><Relationship Type="http://schemas.openxmlformats.org/officeDocument/2006/relationships/hyperlink" Id="rId42" Target="https://eo4society.esa.int/projects/mireia/" TargetMode="External" /><Relationship Type="http://schemas.openxmlformats.org/officeDocument/2006/relationships/hyperlink" Id="rId76" Target="https://gmd.copernicus.org/articles/12/3571/2019/" TargetMode="External" /><Relationship Type="http://schemas.openxmlformats.org/officeDocument/2006/relationships/hyperlink" Id="rId30" Target="https://journals.plos.org/plosone/article?id=10.1371%2Fjournal.pone.0262247" TargetMode="External" /><Relationship Type="http://schemas.openxmlformats.org/officeDocument/2006/relationships/hyperlink" Id="rId71" Target="https://labelstud.io/guide/" TargetMode="External" /><Relationship Type="http://schemas.openxmlformats.org/officeDocument/2006/relationships/hyperlink" Id="rId32" Target="https://labelstud.io/guide/get_started.html" TargetMode="External" /><Relationship Type="http://schemas.openxmlformats.org/officeDocument/2006/relationships/hyperlink" Id="rId48" Target="https://marine.copernicus.eu/services/use-cases/ocean-plastic-alert-tracking-system-calculating-drift-using-copernicus-marine" TargetMode="External" /><Relationship Type="http://schemas.openxmlformats.org/officeDocument/2006/relationships/hyperlink" Id="rId52" Target="https://nannyml.readthedocs.io/en/latest/landing_page.html" TargetMode="External" /><Relationship Type="http://schemas.openxmlformats.org/officeDocument/2006/relationships/hyperlink" Id="rId23" Target="https://opendrift.github.io/" TargetMode="External" /><Relationship Type="http://schemas.openxmlformats.org/officeDocument/2006/relationships/hyperlink" Id="rId46" Target="https://parcels-code.org/" TargetMode="External" /><Relationship Type="http://schemas.openxmlformats.org/officeDocument/2006/relationships/hyperlink" Id="rId56" Target="https://pmc.ncbi.nlm.nih.gov/articles/PMC7075849/" TargetMode="External" /><Relationship Type="http://schemas.openxmlformats.org/officeDocument/2006/relationships/hyperlink" Id="rId59" Target="https://proceedings.mlr.press/v80/lipton18a/lipton18a.pdf" TargetMode="External" /><Relationship Type="http://schemas.openxmlformats.org/officeDocument/2006/relationships/hyperlink" Id="rId47" Target="https://response.restoration.noaa.gov/sites/default/files/GNOME_Tech_Doc.pdf" TargetMode="External" /><Relationship Type="http://schemas.openxmlformats.org/officeDocument/2006/relationships/hyperlink" Id="rId31" Target="https://riverml.xyz/0.7.0/api/drift/ADWIN/" TargetMode="External" /><Relationship Type="http://schemas.openxmlformats.org/officeDocument/2006/relationships/hyperlink" Id="rId51" Target="https://riverml.xyz/0.8.0/examples/concept-drift-detection/" TargetMode="External" /><Relationship Type="http://schemas.openxmlformats.org/officeDocument/2006/relationships/hyperlink" Id="rId37" Target="https://sentinels.copernicus.eu/sentinel-data-access/sentinel-products/sentinel-2-data-products/collection-1-level-2a" TargetMode="External" /><Relationship Type="http://schemas.openxmlformats.org/officeDocument/2006/relationships/hyperlink" Id="rId25" Target="https://www.aoml.noaa.gov/global-drifter-program/" TargetMode="External" /><Relationship Type="http://schemas.openxmlformats.org/officeDocument/2006/relationships/hyperlink" Id="rId43" Target="https://www.esa.int/Applications/Observing_the_Earth/Copernicus/Sentinel-1/Mission_ends_for_Copernicus_Sentinel-1B_satellite" TargetMode="External" /><Relationship Type="http://schemas.openxmlformats.org/officeDocument/2006/relationships/hyperlink" Id="rId50" Target="https://www.frontiersin.org/journals/artificial-intelligence/articles/10.3389/frai.2024.1330257/full" TargetMode="External" /><Relationship Type="http://schemas.openxmlformats.org/officeDocument/2006/relationships/hyperlink" Id="rId29" Target="https://www.mdpi.com/1999-5903/15/5/169" TargetMode="External" /><Relationship Type="http://schemas.openxmlformats.org/officeDocument/2006/relationships/hyperlink" Id="rId74" Target="https://www.mdpi.com/2072-4292/12/16/2648" TargetMode="External" /><Relationship Type="http://schemas.openxmlformats.org/officeDocument/2006/relationships/hyperlink" Id="rId22" Target="https://www.mdpi.com/2072-4292/13/22/4622" TargetMode="External" /><Relationship Type="http://schemas.openxmlformats.org/officeDocument/2006/relationships/hyperlink" Id="rId33" Target="https://www.mdpi.com/2073-4441/17/22/3318" TargetMode="External" /><Relationship Type="http://schemas.openxmlformats.org/officeDocument/2006/relationships/hyperlink" Id="rId24" Target="https://www.nature.com/articles/s41598-020-62298-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2026-03-12T10:10:07Z</dcterms:created>
  <dcterms:modified xsi:type="dcterms:W3CDTF">2026-03-12T10:10:07Z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