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F7CF" w14:textId="77777777" w:rsidR="003565D2" w:rsidRDefault="003565D2" w:rsidP="003565D2">
      <w:pPr>
        <w:pStyle w:val="Heading2"/>
      </w:pPr>
      <w:bookmarkStart w:id="0" w:name="_Toc201953882"/>
      <w:r>
        <w:t>2.4 Synthetic Aperture Radar (SAR) for Plastic Detection</w:t>
      </w:r>
      <w:bookmarkEnd w:id="0"/>
    </w:p>
    <w:p w14:paraId="35C48163" w14:textId="77777777" w:rsidR="003565D2" w:rsidRPr="00C83086" w:rsidRDefault="003565D2" w:rsidP="003565D2">
      <w:pPr>
        <w:pStyle w:val="Heading3"/>
      </w:pPr>
      <w:bookmarkStart w:id="1" w:name="_Toc201953883"/>
      <w:r>
        <w:t>2.4.1 Synthetic Aperture Radar Overview</w:t>
      </w:r>
      <w:bookmarkEnd w:id="1"/>
    </w:p>
    <w:p w14:paraId="4EA48DDA" w14:textId="77777777" w:rsidR="003565D2" w:rsidRPr="000420A7" w:rsidRDefault="003565D2" w:rsidP="003565D2">
      <w:pPr>
        <w:jc w:val="both"/>
      </w:pPr>
      <w:r w:rsidRPr="000420A7">
        <w:t xml:space="preserve">Synthetic Aperture Radar (SAR) is </w:t>
      </w:r>
      <w:r>
        <w:t>an active</w:t>
      </w:r>
      <w:r w:rsidRPr="000420A7">
        <w:t xml:space="preserve"> imaging technology that generates images by emitting microwave signals towards a target area and then capturing the reflected signals, known as backscatter</w:t>
      </w:r>
      <w:r>
        <w:t xml:space="preserve">. </w:t>
      </w:r>
      <w:r w:rsidRPr="000420A7">
        <w:t>SAR can operate at any time and in all weather conditions regardless of cloud cover as the formation of an image is not reliant on reflected sunlight but rather on received backscatter after the emitted microwaves from the sensor interact with the target</w:t>
      </w:r>
      <w:r>
        <w:t>, being a significant advantage over optical sensors</w:t>
      </w:r>
      <w:r w:rsidRPr="000420A7">
        <w:t>.</w:t>
      </w:r>
    </w:p>
    <w:p w14:paraId="19E2CAB3" w14:textId="77777777" w:rsidR="003565D2" w:rsidRPr="00462536" w:rsidRDefault="003565D2" w:rsidP="003565D2">
      <w:pPr>
        <w:jc w:val="both"/>
      </w:pPr>
      <w:r w:rsidRPr="00462536">
        <w:t xml:space="preserve">SAR operates in several frequency bands including, increasing in wavelength, Ka-Band, Ku-Band, X-Band, C-Band, S-Band, L-Band and P-Band. These bands are suited to different applications, longer wavelength bands can penetrate through cloud cover more effectively but operate at a lower spatial resolution while shorter wavelength bands are more affected by cloud cover but can capture finer surface features </w:t>
      </w:r>
      <w:r w:rsidRPr="00462536">
        <w:fldChar w:fldCharType="begin"/>
      </w:r>
      <w:r w:rsidRPr="00462536">
        <w:instrText xml:space="preserve"> ADDIN ZOTERO_ITEM CSL_CITATION {"citationID":"PcxaBPLi","properties":{"formattedCitation":"(Johansson {\\i{}et al.}, 2017)","plainCitation":"(Johansson et al., 2017)","noteIndex":0},"citationItems":[{"id":390,"uris":["http://zotero.org/users/local/SqoBCFxW/items/GUBXKZAL"],"itemData":{"id":390,"type":"article-journal","abstract":"In this study, we compare colocated near-coincident X-, C-, and L-band fully polarimetry SAR satellite images with helicopter-borne ice thickness measurements acquired during the Norwegian Young sea ICE 2015 (N-ICE2015) expedition in the region of the Arctic Ocean north of Svalbard in April 2015. The air-borne surveys provide near-coincident snow plus ice thickness, surface roughness data, and photographs. This unique data set allows us to investigate how the different frequencies can complement one another for sea ice studies, but also to raise awareness of limitations. X-band and L-band satellite scenes were shown to be a useful complement to the standard SAR frequency for sea ice monitoring (C-band) for lead ice and newly formed sea ice identification. This may be in part be due to the frequency but also the high spatial resolution of these sensors. We found a relatively low correlation between snow plus ice thickness and surface roughness. Therefore, in our dataset ice thickness cannot directly be observed by SAR which has important implications for operational ice charting based on automatic segmentation.","container-title":"Journal of Geophysical Research: Oceans","DOI":"10.1002/2016JC012273","ISSN":"2169-9291","issue":"1","language":"en","license":"© 2016. American Geophysical Union. All Rights Reserved.","note":"_eprint: https://agupubs.onlinelibrary.wiley.com/doi/pdf/10.1002/2016JC012273","page":"669-691","source":"Wiley Online Library","title":"Combined observations of Arctic sea ice with near-coincident colocated X-band, C-band, and L-band SAR satellite remote sensing and helicopter-borne measurements","volume":"122","author":[{"family":"Johansson","given":"A. M."},{"family":"King","given":"J. A."},{"family":"Doulgeris","given":"A. P."},{"family":"Gerland","given":"S."},{"family":"Singha","given":"S."},{"family":"Spreen","given":"G."},{"family":"Busche","given":"T."}],"issued":{"date-parts":[["2017"]]}}}],"schema":"https://github.com/citation-style-language/schema/raw/master/csl-citation.json"} </w:instrText>
      </w:r>
      <w:r w:rsidRPr="00462536">
        <w:fldChar w:fldCharType="separate"/>
      </w:r>
      <w:r w:rsidRPr="00462536">
        <w:rPr>
          <w:rFonts w:cs="Calibri"/>
          <w:kern w:val="0"/>
        </w:rPr>
        <w:t xml:space="preserve">(Johansson </w:t>
      </w:r>
      <w:r w:rsidRPr="00462536">
        <w:rPr>
          <w:rFonts w:cs="Calibri"/>
          <w:i/>
          <w:iCs/>
          <w:kern w:val="0"/>
        </w:rPr>
        <w:t>et al.</w:t>
      </w:r>
      <w:r w:rsidRPr="00462536">
        <w:rPr>
          <w:rFonts w:cs="Calibri"/>
          <w:kern w:val="0"/>
        </w:rPr>
        <w:t>, 2017)</w:t>
      </w:r>
      <w:r w:rsidRPr="00462536">
        <w:fldChar w:fldCharType="end"/>
      </w:r>
      <w:r w:rsidRPr="00462536">
        <w:t>. This trade-off needs to be considered regarding what is required from the SAR imagery and the aim of the application for the choice of an effective band. </w:t>
      </w:r>
    </w:p>
    <w:p w14:paraId="2C86FB16" w14:textId="77777777" w:rsidR="003565D2" w:rsidRDefault="003565D2" w:rsidP="003565D2">
      <w:pPr>
        <w:jc w:val="both"/>
      </w:pPr>
      <w:r w:rsidRPr="00462536">
        <w:t xml:space="preserve">SAR systems can be designed with different polarization characteristics including single and dual modes. Single polarisation uses a single polarisation direction, either horizontal or vertical, for both transmitting and receiving signals these are denoted as VV or HH for Vertical-Transmit, Vertical-Receive and Horizontal-Transmit, and Horizontal-Receive respectively. This is the simplest form of SAR and is suited for applications involving smoother surfaces without a large amount of vertical variability such as water or soil monitoring </w:t>
      </w:r>
      <w:r w:rsidRPr="00462536">
        <w:fldChar w:fldCharType="begin"/>
      </w:r>
      <w:r w:rsidRPr="00462536">
        <w:instrText xml:space="preserve"> ADDIN ZOTERO_ITEM CSL_CITATION {"citationID":"pCyUeBcS","properties":{"formattedCitation":"({\\i{}Polarimetry | Get to Know SAR \\uc0\\u8211{} NASA-ISRO SAR Mission (NISAR)}, no date)","plainCitation":"(Polarimetry | Get to Know SAR – NASA-ISRO SAR Mission (NISAR), no date)","dontUpdate":true,"noteIndex":0},"citationItems":[{"id":398,"uris":["http://zotero.org/users/local/SqoBCFxW/items/ZC9IKH8B"],"itemData":{"id":398,"type":"webpage","title":"Polarimetry | Get to Know SAR – NASA-ISRO SAR Mission (NISAR)","URL":"https://nisar.jpl.nasa.gov/mission/get-to-know-sar/polarimetry/","accessed":{"date-parts":[["2025",6,25]]}}}],"schema":"https://github.com/citation-style-language/schema/raw/master/csl-citation.json"} </w:instrText>
      </w:r>
      <w:r w:rsidRPr="00462536">
        <w:fldChar w:fldCharType="separate"/>
      </w:r>
      <w:r w:rsidRPr="00462536">
        <w:rPr>
          <w:rFonts w:cs="Calibri"/>
          <w:kern w:val="0"/>
        </w:rPr>
        <w:t>( NASA-ISRO SAR Mission (NISAR), 2025)</w:t>
      </w:r>
      <w:r w:rsidRPr="00462536">
        <w:fldChar w:fldCharType="end"/>
      </w:r>
      <w:r w:rsidRPr="00462536">
        <w:t>. Dual polarisation refers to when a sensor transmits in one polarisation either horizontal or vertical and receives in two polarisations, both horizontal and vertical. This polarisation has been shown to be more effective over single polarisation in applications where small vertical changes separate targets</w:t>
      </w:r>
      <w:r>
        <w:t>, such as vegetation monitoring</w:t>
      </w:r>
      <w:r w:rsidRPr="00462536">
        <w:t>.</w:t>
      </w:r>
      <w:r>
        <w:t xml:space="preserve"> The additional cross-polarised channel in dual polarisation imagery provides more information on the target surface allowing for the separation of scattering mechanisms as well as the ability to calculate radar-based indices, such as the cross-correlation index as the division of the VH value by the VV backscatter value </w:t>
      </w:r>
      <w:r>
        <w:fldChar w:fldCharType="begin"/>
      </w:r>
      <w:r>
        <w:instrText xml:space="preserve"> ADDIN ZOTERO_ITEM CSL_CITATION {"citationID":"0CQ0gQT6","properties":{"formattedCitation":"(Mandal {\\i{}et al.}, 2020)","plainCitation":"(Mandal et al., 2020)","noteIndex":0},"citationItems":[{"id":454,"uris":["http://zotero.org/users/local/SqoBCFxW/items/W997JN2Z"],"itemData":{"id":454,"type":"article-journal","abstract":"Sentinel-1 Synthetic Aperture Radar (SAR) data have provided an unprecedented opportunity for crop monitoring due to its high revisit frequency and wide spatial coverage. The dual-pol (VV-VH) Sentinel-1 SAR data are being utilized for the European Common Agricultural Policy (CAP) as well as for other national projects, which are providing Sentinel derived information to support crop monitoring networks. Among the Earth observation products identified for agriculture monitoring, indicators of vegetation status are deemed critical by end-user communities. In literature, several experiments usually utilize the backscatter intensities to characterize crops. In this study, we have jointly utilized the scattering information in terms of the degree of polarization and the eigenvalue spectrum to derive a new vegetation index from dual-pol (DpRVI) SAR data. We assess the utility of this index as an indicator of plant growth dynamics for canola, soybean, and wheat, over a test site in Canada. A temporal analysis of DpRVI with crop biophysical variables (viz., Plant Area Index (PAI), Vegetation Water Content (VWC), and dry biomass (DB)) at different phenological stages confirms its trend with plant growth dynamics. For each crop type, the DpRVI is compared with the cross and co-pol ratio (σVH0/σVV0) and dual-pol Radar Vegetation Index (RVI = 4σVH0/(σVV0 + σVH0)), Polarimetric Radar Vegetation Index (PRVI), and the Dual Polarization SAR Vegetation Index (DPSVI). Statistical analysis with biophysical variables shows that the DpRVI outperformed the other four vegetation indices, yielding significant correlations for all three crops. Correlations between DpRVI and biophysical variables are highest for canola, with coefficients of determination (R2) of 0.79 (PAI), 0.82 (VWC), and 0.75 (DB). DpRVI had a moderate correlation (R2</w:instrText>
      </w:r>
      <w:r>
        <w:rPr>
          <w:rFonts w:ascii="Cambria Math" w:hAnsi="Cambria Math" w:cs="Cambria Math"/>
        </w:rPr>
        <w:instrText>≳</w:instrText>
      </w:r>
      <w:r>
        <w:instrText xml:space="preserve"> 0.6) with the biophysical parameters of wheat and soybean. Good retrieval accuracies of crop biophysical parameters are also observed for all three crops.","container-title":"Remote Sensing of Environment","DOI":"10.1016/j.rse.2020.111954","ISSN":"0034-4257","journalAbbreviation":"Remote Sensing of Environment","page":"111954","source":"ScienceDirect","title":"Dual polarimetric radar vegetation index for crop growth monitoring using sentinel-1 SAR data","volume":"247","author":[{"family":"Mandal","given":"Dipankar"},{"family":"Kumar","given":"Vineet"},{"family":"Ratha","given":"Debanshu"},{"family":"Dey","given":"Subhadip"},{"family":"Bhattacharya","given":"Avik"},{"family":"Lopez-Sanchez","given":"Juan M."},{"family":"McNairn","given":"Heather"},{"family":"Rao","given":"Yalamanchili S."}],"issued":{"date-parts":[["2020",9,15]]}}}],"schema":"https://github.com/citation-style-language/schema/raw/master/csl-citation.json"} </w:instrText>
      </w:r>
      <w:r>
        <w:fldChar w:fldCharType="separate"/>
      </w:r>
      <w:r w:rsidRPr="00462536">
        <w:rPr>
          <w:rFonts w:cs="Calibri"/>
          <w:kern w:val="0"/>
        </w:rPr>
        <w:t xml:space="preserve">(Mandal </w:t>
      </w:r>
      <w:r w:rsidRPr="00462536">
        <w:rPr>
          <w:rFonts w:cs="Calibri"/>
          <w:i/>
          <w:iCs/>
          <w:kern w:val="0"/>
        </w:rPr>
        <w:t>et al.</w:t>
      </w:r>
      <w:r w:rsidRPr="00462536">
        <w:rPr>
          <w:rFonts w:cs="Calibri"/>
          <w:kern w:val="0"/>
        </w:rPr>
        <w:t>, 2020)</w:t>
      </w:r>
      <w:r>
        <w:fldChar w:fldCharType="end"/>
      </w:r>
      <w:r>
        <w:t xml:space="preserve">. Quad polarisation extends dual polarisation by transmitting and receiving in both directions creating all four combinations namely, VV, VH, HV and HH. Quad-pol SAR allows for full polarimetric decomposition, which can separate the dominant form of scattering per pixel </w:t>
      </w:r>
      <w:r>
        <w:fldChar w:fldCharType="begin"/>
      </w:r>
      <w:r>
        <w:instrText xml:space="preserve"> ADDIN ZOTERO_ITEM CSL_CITATION {"citationID":"GwDeVQWH","properties":{"formattedCitation":"(Hajnsek and Desnos, 2021)","plainCitation":"(Hajnsek and Desnos, 2021)","noteIndex":0},"citationItems":[{"id":477,"uris":["http://zotero.org/users/local/SqoBCFxW/items/JRAXE79R"],"itemData":{"id":477,"type":"book","ISBN":"978-3-030-56502-2","note":"DOI: 10.1007/978-3-030-56504-6","title":"Polarimetric Synthetic Aperture Radar Principles and Application: Principles and Application","author":[{"family":"Hajnsek","given":"Irena"},{"family":"Desnos","given":"Yves-Louis"}],"issued":{"date-parts":[["2021",1,1]]}}}],"schema":"https://github.com/citation-style-language/schema/raw/master/csl-citation.json"} </w:instrText>
      </w:r>
      <w:r>
        <w:fldChar w:fldCharType="separate"/>
      </w:r>
      <w:r w:rsidRPr="00605A95">
        <w:rPr>
          <w:rFonts w:cs="Calibri"/>
        </w:rPr>
        <w:t>(</w:t>
      </w:r>
      <w:proofErr w:type="spellStart"/>
      <w:r w:rsidRPr="00605A95">
        <w:rPr>
          <w:rFonts w:cs="Calibri"/>
        </w:rPr>
        <w:t>Hajnsek</w:t>
      </w:r>
      <w:proofErr w:type="spellEnd"/>
      <w:r w:rsidRPr="00605A95">
        <w:rPr>
          <w:rFonts w:cs="Calibri"/>
        </w:rPr>
        <w:t xml:space="preserve"> and Desnos, 2021)</w:t>
      </w:r>
      <w:r>
        <w:fldChar w:fldCharType="end"/>
      </w:r>
      <w:r>
        <w:t xml:space="preserve">. Decomposition, however, requires phase data to be preserved. </w:t>
      </w:r>
    </w:p>
    <w:p w14:paraId="515B4E76" w14:textId="77777777" w:rsidR="003565D2" w:rsidRPr="001329F5" w:rsidRDefault="003565D2" w:rsidP="003565D2">
      <w:pPr>
        <w:jc w:val="both"/>
      </w:pPr>
      <w:r>
        <w:t xml:space="preserve">SAR data can be obtained in different product forms, two of the most widely used include Ground Range Detected (GRD) Single Look Complex (SLC) data. SLC data refers to SAR products that are composed of complex valued radar signals meaning each pixel retains information on the amplitude and phase of the returned signal. SLC pixels are represented in a slant-range coordinate system, meaning they retain the full resolution of the sensor </w:t>
      </w:r>
      <w:r>
        <w:fldChar w:fldCharType="begin"/>
      </w:r>
      <w:r>
        <w:instrText xml:space="preserve"> ADDIN ZOTERO_ITEM CSL_CITATION {"citationID":"W70l9AHa","properties":{"formattedCitation":"(Marghany, 2020)","plainCitation":"(Marghany, 2020)","noteIndex":0},"citationItems":[{"id":460,"uris":["http://zotero.org/users/local/SqoBCFxW/items/KRSS2YCB"],"itemData":{"id":460,"type":"chapter","abstract":"This chapter presents the theory of synthetic aperture radar (SAR). This theory is based on the definition of aperture and the difference between real and synthetic aperture radar. In addition, the theory of SAR backscatter is presented in addition to ambiguities along the range and azimuth as well. The impact of dielectric is considered as it is an important factor for SAR imaging oil spills. Finally, SAR sensors are listed with their different bands and frequencies.","container-title":"Synthetic Aperture Radar Imaging Mechanism for Oil Spills","ISBN":"978-0-12-818111-9","note":"DOI: 10.1016/B978-0-12-818111-9.00008-2","page":"127-150","publisher":"Gulf Professional Publishing","source":"ScienceDirect","title":"Chapter 8 - Principle theories of synthetic aperture radar","URL":"https://www.sciencedirect.com/science/article/pii/B9780128181119000082","author":[{"family":"Marghany","given":"Maged"}],"editor":[{"family":"Marghany","given":"Maged"}],"accessed":{"date-parts":[["2025",10,14]]},"issued":{"date-parts":[["2020",1,1]]}}}],"schema":"https://github.com/citation-style-language/schema/raw/master/csl-citation.json"} </w:instrText>
      </w:r>
      <w:r>
        <w:fldChar w:fldCharType="separate"/>
      </w:r>
      <w:r w:rsidRPr="007B17E7">
        <w:rPr>
          <w:rFonts w:cs="Calibri"/>
        </w:rPr>
        <w:t>(</w:t>
      </w:r>
      <w:proofErr w:type="spellStart"/>
      <w:r w:rsidRPr="007B17E7">
        <w:rPr>
          <w:rFonts w:cs="Calibri"/>
        </w:rPr>
        <w:t>Marghany</w:t>
      </w:r>
      <w:proofErr w:type="spellEnd"/>
      <w:r w:rsidRPr="007B17E7">
        <w:rPr>
          <w:rFonts w:cs="Calibri"/>
        </w:rPr>
        <w:t>, 2020)</w:t>
      </w:r>
      <w:r>
        <w:fldChar w:fldCharType="end"/>
      </w:r>
      <w:r>
        <w:t xml:space="preserve">. GRD data are SAR products that have been multi-looked and projected to ground range coordinates. Multi-looking refers to the process of averaging neighbouring pixels to improve radiometric resolution while producing square pixels in a regular grid, while this reduces speckle noise in SAR images, it comes at the cost of reducing spatial resolution </w:t>
      </w:r>
      <w:r>
        <w:rPr>
          <w:color w:val="FF0000"/>
        </w:rPr>
        <w:fldChar w:fldCharType="begin"/>
      </w:r>
      <w:r>
        <w:rPr>
          <w:color w:val="FF0000"/>
        </w:rPr>
        <w:instrText xml:space="preserve"> ADDIN ZOTERO_ITEM CSL_CITATION {"citationID":"AYkOn4pl","properties":{"formattedCitation":"(Copernicus, 2014)","plainCitation":"(Copernicus, 2014)","noteIndex":0},"citationItems":[{"id":459,"uris":["http://zotero.org/users/local/SqoBCFxW/items/8KMVD6D9"],"itemData":{"id":459,"type":"document","title":"Sentinel-1 – Documentation. Copernicus Data Space","URL":"https://documentation.dataspace.copernicus.eu/Data/SentinelMissions/Sentinel1.html","author":[{"literal":"Copernicus"}],"accessed":{"date-parts":[["2025",10,14]]},"issued":{"date-parts":[["2014"]]}}}],"schema":"https://github.com/citation-style-language/schema/raw/master/csl-citation.json"} </w:instrText>
      </w:r>
      <w:r>
        <w:rPr>
          <w:color w:val="FF0000"/>
        </w:rPr>
        <w:fldChar w:fldCharType="separate"/>
      </w:r>
      <w:r w:rsidRPr="00FF3E4F">
        <w:rPr>
          <w:rFonts w:cs="Calibri"/>
        </w:rPr>
        <w:t>(Copernicus, 2014)</w:t>
      </w:r>
      <w:r>
        <w:rPr>
          <w:color w:val="FF0000"/>
        </w:rPr>
        <w:fldChar w:fldCharType="end"/>
      </w:r>
      <w:r>
        <w:t xml:space="preserve">. Pixels in GRD images contain only information of the intensity of backscatter, with phase information omitted. Unprocessed Sentinel-1 SAR GRD and SLC scenes are shown in figures 1 &amp; 2 below.  </w:t>
      </w:r>
    </w:p>
    <w:tbl>
      <w:tblPr>
        <w:tblStyle w:val="TableGrid"/>
        <w:tblW w:w="91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4568"/>
      </w:tblGrid>
      <w:tr w:rsidR="003565D2" w14:paraId="750A9304" w14:textId="77777777" w:rsidTr="004B7EEC">
        <w:trPr>
          <w:trHeight w:val="3857"/>
        </w:trPr>
        <w:tc>
          <w:tcPr>
            <w:tcW w:w="4568" w:type="dxa"/>
          </w:tcPr>
          <w:p w14:paraId="36DDEC0B" w14:textId="77777777" w:rsidR="003565D2" w:rsidRDefault="003565D2" w:rsidP="004B7EEC">
            <w:pPr>
              <w:keepNext/>
              <w:jc w:val="center"/>
            </w:pPr>
            <w:r w:rsidRPr="00A75CF1">
              <w:lastRenderedPageBreak/>
              <w:drawing>
                <wp:inline distT="0" distB="0" distL="0" distR="0" wp14:anchorId="4A50469E" wp14:editId="04B206B3">
                  <wp:extent cx="2247900" cy="2466960"/>
                  <wp:effectExtent l="0" t="0" r="0" b="0"/>
                  <wp:docPr id="14628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27199" name=""/>
                          <pic:cNvPicPr/>
                        </pic:nvPicPr>
                        <pic:blipFill>
                          <a:blip r:embed="rId5"/>
                          <a:stretch>
                            <a:fillRect/>
                          </a:stretch>
                        </pic:blipFill>
                        <pic:spPr>
                          <a:xfrm>
                            <a:off x="0" y="0"/>
                            <a:ext cx="2257405" cy="2477392"/>
                          </a:xfrm>
                          <a:prstGeom prst="rect">
                            <a:avLst/>
                          </a:prstGeom>
                        </pic:spPr>
                      </pic:pic>
                    </a:graphicData>
                  </a:graphic>
                </wp:inline>
              </w:drawing>
            </w:r>
          </w:p>
          <w:p w14:paraId="7AB54067" w14:textId="77777777" w:rsidR="003565D2" w:rsidRDefault="003565D2" w:rsidP="004B7EEC">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Unprocessed S1 GRD image.</w:t>
            </w:r>
          </w:p>
        </w:tc>
        <w:tc>
          <w:tcPr>
            <w:tcW w:w="4568" w:type="dxa"/>
          </w:tcPr>
          <w:p w14:paraId="1674AA87" w14:textId="77777777" w:rsidR="003565D2" w:rsidRDefault="003565D2" w:rsidP="004B7EEC">
            <w:pPr>
              <w:keepNext/>
              <w:jc w:val="center"/>
            </w:pPr>
            <w:r w:rsidRPr="00A75CF1">
              <w:drawing>
                <wp:inline distT="0" distB="0" distL="0" distR="0" wp14:anchorId="3CB7B8B3" wp14:editId="6F35834A">
                  <wp:extent cx="2214567" cy="2466340"/>
                  <wp:effectExtent l="0" t="0" r="0" b="0"/>
                  <wp:docPr id="1307042799" name="Picture 1" descr="A black and white image of a l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2799" name="Picture 1" descr="A black and white image of a lake&#10;&#10;AI-generated content may be incorrect."/>
                          <pic:cNvPicPr/>
                        </pic:nvPicPr>
                        <pic:blipFill rotWithShape="1">
                          <a:blip r:embed="rId6"/>
                          <a:srcRect l="3138" r="16584"/>
                          <a:stretch>
                            <a:fillRect/>
                          </a:stretch>
                        </pic:blipFill>
                        <pic:spPr bwMode="auto">
                          <a:xfrm rot="10800000">
                            <a:off x="0" y="0"/>
                            <a:ext cx="2225244" cy="2478230"/>
                          </a:xfrm>
                          <a:prstGeom prst="rect">
                            <a:avLst/>
                          </a:prstGeom>
                          <a:ln>
                            <a:noFill/>
                          </a:ln>
                          <a:extLst>
                            <a:ext uri="{53640926-AAD7-44D8-BBD7-CCE9431645EC}">
                              <a14:shadowObscured xmlns:a14="http://schemas.microsoft.com/office/drawing/2010/main"/>
                            </a:ext>
                          </a:extLst>
                        </pic:spPr>
                      </pic:pic>
                    </a:graphicData>
                  </a:graphic>
                </wp:inline>
              </w:drawing>
            </w:r>
          </w:p>
          <w:p w14:paraId="14BEC14E" w14:textId="77777777" w:rsidR="003565D2" w:rsidRPr="00B40DDE" w:rsidRDefault="003565D2" w:rsidP="004B7EEC">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Unprocessed S1 SLC image.</w:t>
            </w:r>
          </w:p>
        </w:tc>
      </w:tr>
    </w:tbl>
    <w:p w14:paraId="31B6FDCF" w14:textId="77777777" w:rsidR="003565D2" w:rsidRDefault="003565D2" w:rsidP="003565D2">
      <w:pPr>
        <w:jc w:val="both"/>
      </w:pPr>
    </w:p>
    <w:p w14:paraId="5433C3B1" w14:textId="77777777" w:rsidR="003565D2" w:rsidRDefault="003565D2" w:rsidP="003565D2">
      <w:pPr>
        <w:jc w:val="both"/>
      </w:pPr>
      <w:r>
        <w:t xml:space="preserve">The choice between SLC and GRD data depends on the application and thus the information required. GRD data does not retain phase information meaning it is suitable for applications that only require backscatter intensity values such as general landcover mapping or large object detection. Uniform pixel sizes allows for simpler detection model design as differences in range and azimuth object sizes do not need to be considered </w:t>
      </w:r>
      <w:r>
        <w:fldChar w:fldCharType="begin"/>
      </w:r>
      <w:r>
        <w:instrText xml:space="preserve"> ADDIN ZOTERO_ITEM CSL_CITATION {"citationID":"unW9KzV3","properties":{"formattedCitation":"(S\\uc0\\u248{}rensen, Heiselberg and Heiselberg, 2024)","plainCitation":"(Sørensen, Heiselberg and Heiselberg, 2024)","noteIndex":0},"citationItems":[{"id":464,"uris":["http://zotero.org/users/local/SqoBCFxW/items/DDEXS55X"],"itemData":{"id":464,"type":"article-journal","abstract":"The increasing importance of maritime surveillance, particularly in monitoring dark ships, highlights the need for advanced detection models that go beyond simple ship localisation. Current approaches largely focus on either detection or feature extraction, leaving a gap in unified methods capable of providing detailed ship characteristics. This study addresses this gap by developing a unified model for ship detection and characterisation from Synthetic Aperture Radar images, estimating features such as true length, true breadth, and heading. The model is designed to detect ships of varying sizes while simultaneously estimating their characteristics, and experimental results show a high detection accuracy, with a recall of 87.7% and an F1-score of 93.5%. The model also effectively estimates ship dimensions, with mean errors of 1.4 ± 16.2 m for length and 1.5 ± 4.5 m for breadth. Estimating the heading proved challenging for smaller ships, but was accurate for larger ships. A total of 50% of the heading estimates were within 15 degrees of error. This unified approach offers practical benefits for maritime operations. It is especially useful in situations where both ship detection and detailed information are needed, such as predicting future ship positions or identifying ships.","container-title":"Remote Sensing","DOI":"10.3390/rs16244719","ISSN":"2072-4292","issue":"24","source":"Welcome to DTU Research Database","title":"Unified Detection and Feature Extraction of Ships in Satellite Images","URL":"https://www.scopus.com/pages/publications/85213239055","volume":"16","author":[{"family":"Sørensen","given":"Kristian Aalling"},{"family":"Heiselberg","given":"Peder"},{"family":"Heiselberg","given":"Henning"}],"accessed":{"date-parts":[["2025",10,14]]},"issued":{"date-parts":[["2024"]]}}}],"schema":"https://github.com/citation-style-language/schema/raw/master/csl-citation.json"} </w:instrText>
      </w:r>
      <w:r>
        <w:fldChar w:fldCharType="separate"/>
      </w:r>
      <w:r w:rsidRPr="00B40DDE">
        <w:rPr>
          <w:rFonts w:cs="Calibri"/>
          <w:kern w:val="0"/>
        </w:rPr>
        <w:t>(Sørensen, Heiselberg and Heiselberg, 2024)</w:t>
      </w:r>
      <w:r>
        <w:fldChar w:fldCharType="end"/>
      </w:r>
      <w:r>
        <w:t xml:space="preserve">. GRD images are more lightweight and have a greater amount of preprocessing applied when compared to SLC data, this makes it preferred for tasks where only backscatter intensity is required, and the resolution lost through multi-looking does not significantly hinder performance. SLC data retains phase, providing more information per pixel, allowing for the derivation of polarimetric information and coherence. The full spatial resolution, while introducing complexity at range views, allows for the detection of finer targets than that in GRD data while using the greater information content, that can be extracted from the retained phase information, to separate targets. With regards to plastic detection using SAR, a case for fine not well contrasted target identification, it was found that including SLC-based parameters such as coherence were beneficial in detecting floating objects </w:t>
      </w:r>
      <w:r>
        <w:fldChar w:fldCharType="begin"/>
      </w:r>
      <w:r>
        <w:instrText xml:space="preserve"> ADDIN ZOTERO_ITEM CSL_CITATION {"citationID":"sBMVX3jb","properties":{"formattedCitation":"(Simpson {\\i{}et al.}, 2022)","plainCitation":"(Simpson et al., 2022)","noteIndex":0},"citationItems":[{"id":80,"uris":["http://zotero.org/users/local/SqoBCFxW/items/SCV46JUL"],"itemData":{"id":80,"type":"article-journal","abstract":"Plastics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fldChar w:fldCharType="separate"/>
      </w:r>
      <w:r w:rsidRPr="000C602F">
        <w:rPr>
          <w:rFonts w:cs="Calibri"/>
          <w:kern w:val="0"/>
        </w:rPr>
        <w:t xml:space="preserve">(Simpson </w:t>
      </w:r>
      <w:r w:rsidRPr="000C602F">
        <w:rPr>
          <w:rFonts w:cs="Calibri"/>
          <w:i/>
          <w:iCs/>
          <w:kern w:val="0"/>
        </w:rPr>
        <w:t>et al.</w:t>
      </w:r>
      <w:r w:rsidRPr="000C602F">
        <w:rPr>
          <w:rFonts w:cs="Calibri"/>
          <w:kern w:val="0"/>
        </w:rPr>
        <w:t>, 2022)</w:t>
      </w:r>
      <w:r>
        <w:fldChar w:fldCharType="end"/>
      </w:r>
      <w:r>
        <w:t xml:space="preserve">. </w:t>
      </w:r>
    </w:p>
    <w:p w14:paraId="60E740CE" w14:textId="77777777" w:rsidR="003565D2" w:rsidRDefault="003565D2" w:rsidP="003565D2">
      <w:pPr>
        <w:jc w:val="both"/>
      </w:pPr>
      <w:r>
        <w:t xml:space="preserve">Past backscatter intensity, several different features can be extracted from SAR imagery to improve the separation between targets. Texture features consider the spatial arrangement of pixel intensities rather than single pixel intensities. To derive texture features from SAR imagery a Gray Level Co-occurrence Matrix (GLCM) is calculated which produces measures such as contrast, homogeneity and entropy. These features allow for the spatial context of objects to be considered which can improve object detection accuracy </w:t>
      </w:r>
      <w:r>
        <w:fldChar w:fldCharType="begin"/>
      </w:r>
      <w:r>
        <w:instrText xml:space="preserve"> ADDIN ZOTERO_ITEM CSL_CITATION {"citationID":"zBT7WSmE","properties":{"formattedCitation":"(Li {\\i{}et al.}, 2022)","plainCitation":"(Li et al., 2022)","noteIndex":0},"citationItems":[{"id":470,"uris":["http://zotero.org/users/local/SqoBCFxW/items/GHDVAPTA"],"itemData":{"id":470,"type":"article-journal","abstract":"Accurate reconnaissance of Marine oil spill is very important for emergency management of Marine oil spill accidents.Unmanned aerial vehicles (UAV) is a suitable carrier for offshore oil spill reconnaissance because of its fast deployment speed and low cost.Aiming at the identification accuracy of small oil spill accident in offshore port area and the problem of day and night reconnaissance,this study takes thermal infrared remote sensing images of oil leakage captured by UAV as the research object and proposes an oil spill detection method based on a Gray Level Co-occurrence Matrix (GLCM) and Support Vector Machine(SVM) method. Firstly, the extraction steps of image GLCM feature and the basic principle of SVM classification are studied. Then, the thermal infrared image data collected by UAV is preprocessed, including image filtering, clipping and rotation, and the sample database is generated. Subsequently, GLCM features of the samples were extracted, and the energy and correlation in GLCM were selected as classification features and sent to the SVM classifier to complete the oil spill detection of real-time thermal infrared images.The experimental results show that,compared with Classification and Regression Tree algorithm(CART) and Random Forests of Decision Trees(RF) algorithm, the detection accuracy of the method proposed in this paper reaches 95%, which were 10 and 2 percentage points higher than them respectively.The proposed method in this paper has fast recognition speed and high accuracy, and can provide all-weather recognition of oil spills for the detection of small oil spills in the offshore port area.","container-title":"Frontiers in Environmental Science","DOI":"10.3389/fenvs.2022.1049880","ISSN":"2296-665X","journalAbbreviation":"Front. Environ. Sci.","language":"English","note":"publisher: Frontiers","source":"Frontiers","title":"Detection of oil spills based on gray level co-occurrence matrix and support vector machine","URL":"https://www.frontiersin.org/journals/environmental-science/articles/10.3389/fenvs.2022.1049880/full","volume":"10","author":[{"family":"Li","given":"Kai"},{"family":"Yu","given":"Hongliang"},{"family":"Xu","given":"Yiqun"},{"family":"Luo","given":"Xiaoqing"}],"accessed":{"date-parts":[["2025",10,14]]},"issued":{"date-parts":[["2022",12,8]]}}}],"schema":"https://github.com/citation-style-language/schema/raw/master/csl-citation.json"} </w:instrText>
      </w:r>
      <w:r>
        <w:fldChar w:fldCharType="separate"/>
      </w:r>
      <w:r w:rsidRPr="00AF4719">
        <w:rPr>
          <w:rFonts w:cs="Calibri"/>
          <w:kern w:val="0"/>
        </w:rPr>
        <w:t xml:space="preserve">(Li </w:t>
      </w:r>
      <w:r w:rsidRPr="00AF4719">
        <w:rPr>
          <w:rFonts w:cs="Calibri"/>
          <w:i/>
          <w:iCs/>
          <w:kern w:val="0"/>
        </w:rPr>
        <w:t>et al.</w:t>
      </w:r>
      <w:r w:rsidRPr="00AF4719">
        <w:rPr>
          <w:rFonts w:cs="Calibri"/>
          <w:kern w:val="0"/>
        </w:rPr>
        <w:t>, 2022)</w:t>
      </w:r>
      <w:r>
        <w:fldChar w:fldCharType="end"/>
      </w:r>
      <w:r>
        <w:t xml:space="preserve"> . </w:t>
      </w:r>
    </w:p>
    <w:p w14:paraId="3BC943FD" w14:textId="77777777" w:rsidR="003565D2" w:rsidRDefault="003565D2" w:rsidP="003565D2">
      <w:pPr>
        <w:jc w:val="both"/>
        <w:rPr>
          <w:color w:val="FF0000"/>
        </w:rPr>
      </w:pPr>
      <w:r>
        <w:t>When phase data is retained, as in SLC data, polarimetric features can be derived. Polarimetric decomposition calculates parameters which quantify the dominant form of scattering and the degree of randomness of scattering for an object</w:t>
      </w:r>
      <w:r>
        <w:t xml:space="preserve"> </w:t>
      </w:r>
      <w:r>
        <w:rPr>
          <w:color w:val="FF0000"/>
        </w:rPr>
        <w:fldChar w:fldCharType="begin"/>
      </w:r>
      <w:r>
        <w:rPr>
          <w:color w:val="FF0000"/>
        </w:rPr>
        <w:instrText xml:space="preserve"> ADDIN ZOTERO_ITEM CSL_CITATION {"citationID":"qRUFh333","properties":{"formattedCitation":"(Ferro-Famil and Pottier, 2001)","plainCitation":"(Ferro-Famil and Pottier, 2001)","noteIndex":0},"citationItems":[{"id":474,"uris":["http://zotero.org/users/local/SqoBCFxW/items/3AVW8FQ7"],"itemData":{"id":474,"type":"article-journal","container-title":"Progress In Electromagnetics Research","DOI":"10.2528/PIER00081601","ISSN":"1559-8985","journalAbbreviation":"PIER","language":"en","page":"247-272","source":"DOI.org (Crossref)","title":"Dual Frequency Polarimetric SAR Data Classification and Analysis","volume":"31","author":[{"family":"Ferro-Famil","given":"L."},{"family":"Pottier","given":"E."}],"issued":{"date-parts":[["2001"]]}}}],"schema":"https://github.com/citation-style-language/schema/raw/master/csl-citation.json"} </w:instrText>
      </w:r>
      <w:r>
        <w:rPr>
          <w:color w:val="FF0000"/>
        </w:rPr>
        <w:fldChar w:fldCharType="separate"/>
      </w:r>
      <w:r w:rsidRPr="00A5423C">
        <w:rPr>
          <w:rFonts w:cs="Calibri"/>
        </w:rPr>
        <w:t>(Ferro-</w:t>
      </w:r>
      <w:proofErr w:type="spellStart"/>
      <w:r w:rsidRPr="00A5423C">
        <w:rPr>
          <w:rFonts w:cs="Calibri"/>
        </w:rPr>
        <w:t>Famil</w:t>
      </w:r>
      <w:proofErr w:type="spellEnd"/>
      <w:r w:rsidRPr="00A5423C">
        <w:rPr>
          <w:rFonts w:cs="Calibri"/>
        </w:rPr>
        <w:t xml:space="preserve"> and Pottier, 2001)</w:t>
      </w:r>
      <w:r>
        <w:rPr>
          <w:color w:val="FF0000"/>
        </w:rPr>
        <w:fldChar w:fldCharType="end"/>
      </w:r>
      <w:r>
        <w:rPr>
          <w:color w:val="FF0000"/>
        </w:rPr>
        <w:t xml:space="preserve">. </w:t>
      </w:r>
    </w:p>
    <w:p w14:paraId="22AE0112" w14:textId="51807BBB" w:rsidR="003565D2" w:rsidRPr="003565D2" w:rsidRDefault="003565D2" w:rsidP="003565D2">
      <w:pPr>
        <w:jc w:val="both"/>
        <w:rPr>
          <w:color w:val="FF0000"/>
        </w:rPr>
      </w:pPr>
      <w:r w:rsidRPr="003565D2">
        <w:rPr>
          <w:color w:val="FF0000"/>
        </w:rPr>
        <w:t>(Not sure here if I should go into the different types of decomposition and the values derived?)</w:t>
      </w:r>
    </w:p>
    <w:p w14:paraId="039CECBC" w14:textId="77777777" w:rsidR="003565D2" w:rsidRDefault="003565D2" w:rsidP="003565D2">
      <w:pPr>
        <w:jc w:val="both"/>
        <w:rPr>
          <w:color w:val="FF0000"/>
        </w:rPr>
      </w:pPr>
    </w:p>
    <w:p w14:paraId="71D455B0" w14:textId="77777777" w:rsidR="003565D2" w:rsidRDefault="003565D2" w:rsidP="003565D2">
      <w:pPr>
        <w:jc w:val="both"/>
        <w:rPr>
          <w:color w:val="FF0000"/>
        </w:rPr>
      </w:pPr>
    </w:p>
    <w:p w14:paraId="79E82843" w14:textId="77777777" w:rsidR="003565D2" w:rsidRPr="00F326DC" w:rsidRDefault="003565D2" w:rsidP="003565D2">
      <w:pPr>
        <w:jc w:val="both"/>
        <w:rPr>
          <w:color w:val="FF0000"/>
        </w:rPr>
      </w:pPr>
    </w:p>
    <w:p w14:paraId="5A5D7EC3" w14:textId="77777777" w:rsidR="003565D2" w:rsidRDefault="003565D2" w:rsidP="003565D2">
      <w:pPr>
        <w:pStyle w:val="Heading3"/>
      </w:pPr>
      <w:r>
        <w:lastRenderedPageBreak/>
        <w:t>2.4.2 Ocean Surface Physics</w:t>
      </w:r>
    </w:p>
    <w:p w14:paraId="4FD4D262" w14:textId="6CB75BEE" w:rsidR="003565D2" w:rsidRDefault="003565D2" w:rsidP="003565D2">
      <w:pPr>
        <w:jc w:val="both"/>
      </w:pPr>
      <w:r>
        <w:t>- SAR and ocean Scattering mechanisms, from papers on oil and ship detection with SAR.</w:t>
      </w:r>
    </w:p>
    <w:p w14:paraId="5377C90A" w14:textId="7ABFD28B" w:rsidR="003565D2" w:rsidRDefault="003565D2" w:rsidP="003565D2">
      <w:pPr>
        <w:jc w:val="both"/>
      </w:pPr>
      <w:r>
        <w:t xml:space="preserve">-In depth on the physics of it (Bragg, Volume, double-bounce) </w:t>
      </w:r>
    </w:p>
    <w:p w14:paraId="3297E7BF" w14:textId="77777777" w:rsidR="003565D2" w:rsidRDefault="003565D2" w:rsidP="003565D2">
      <w:pPr>
        <w:jc w:val="both"/>
      </w:pPr>
    </w:p>
    <w:p w14:paraId="08A264AE" w14:textId="77777777" w:rsidR="003565D2" w:rsidRDefault="003565D2" w:rsidP="003565D2">
      <w:pPr>
        <w:jc w:val="both"/>
      </w:pPr>
    </w:p>
    <w:p w14:paraId="58FD15F7" w14:textId="77777777" w:rsidR="003565D2" w:rsidRDefault="003565D2" w:rsidP="003565D2">
      <w:pPr>
        <w:pStyle w:val="Heading3"/>
      </w:pPr>
      <w:bookmarkStart w:id="2" w:name="_Toc201953884"/>
      <w:r>
        <w:t>2.4.2 Floating Plastic and SAR Signal Returns</w:t>
      </w:r>
      <w:bookmarkEnd w:id="2"/>
    </w:p>
    <w:p w14:paraId="00408BC3" w14:textId="77777777" w:rsidR="003565D2" w:rsidRDefault="003565D2" w:rsidP="003565D2">
      <w:pPr>
        <w:jc w:val="both"/>
      </w:pPr>
      <w:r>
        <w:t xml:space="preserve">The principle behind SAR detection of plastics lies in how floating debris alters the roughness of the water surface and thus the received backscatter by the sensor. Floating plastics can both reduce or increase backscatter depending on the type of plastic and the conditions of the surrounding water </w:t>
      </w:r>
      <w:r>
        <w:fldChar w:fldCharType="begin"/>
      </w:r>
      <w:r>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21826">
        <w:rPr>
          <w:rFonts w:cs="Calibri"/>
          <w:kern w:val="0"/>
        </w:rPr>
        <w:t xml:space="preserve">(de Fockert </w:t>
      </w:r>
      <w:r w:rsidRPr="00621826">
        <w:rPr>
          <w:rFonts w:cs="Calibri"/>
          <w:i/>
          <w:iCs/>
          <w:kern w:val="0"/>
        </w:rPr>
        <w:t>et al.</w:t>
      </w:r>
      <w:r w:rsidRPr="00621826">
        <w:rPr>
          <w:rFonts w:cs="Calibri"/>
          <w:kern w:val="0"/>
        </w:rPr>
        <w:t>, 2024)</w:t>
      </w:r>
      <w:r>
        <w:fldChar w:fldCharType="end"/>
      </w:r>
      <w:r>
        <w:t xml:space="preserve">. Large dense collections of macroplastics tend to increase surface roughness through creating ripples in the surrounding water generating brighter SAR returns. In contrast, microplastics dampen capillary waves causing reduced surface roughness and thus a lower SAR return. The differences in dielectric constants at the boundary between materials also plays a role in the signal received by the SAR sensor. The dielectric constant of water is high while that of air is very low, this allows for the clear separation of water and air in SAR imagery while the dielectric constant of air and plastics are similar. Therefore, for the separation of plastics and water surface roughness would be the dominate physical mechanism influencing the received SAR signal </w:t>
      </w:r>
      <w:r>
        <w:fldChar w:fldCharType="begin"/>
      </w:r>
      <w:r>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F65FB">
        <w:rPr>
          <w:rFonts w:cs="Calibri"/>
          <w:kern w:val="0"/>
        </w:rPr>
        <w:t xml:space="preserve">(de Fockert </w:t>
      </w:r>
      <w:r w:rsidRPr="006F65FB">
        <w:rPr>
          <w:rFonts w:cs="Calibri"/>
          <w:i/>
          <w:iCs/>
          <w:kern w:val="0"/>
        </w:rPr>
        <w:t>et al.</w:t>
      </w:r>
      <w:r w:rsidRPr="006F65FB">
        <w:rPr>
          <w:rFonts w:cs="Calibri"/>
          <w:kern w:val="0"/>
        </w:rPr>
        <w:t>, 2024)</w:t>
      </w:r>
      <w:r>
        <w:fldChar w:fldCharType="end"/>
      </w:r>
      <w:r>
        <w:t xml:space="preserve">. Wind at the surface of the ocean largely influences surface roughness and thus the backscatter received by the sensor therefore, to accurately separate the influence of surface conditions on the radar signal from that of floating plastics wind speed should be considered and factored into detection methods </w:t>
      </w:r>
      <w:r>
        <w:fldChar w:fldCharType="begin"/>
      </w:r>
      <w:r>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D244CD">
        <w:rPr>
          <w:rFonts w:cs="Calibri"/>
        </w:rPr>
        <w:t>(Topouzelis, Papakonstantinou and Garaba, 2019)</w:t>
      </w:r>
      <w:r>
        <w:fldChar w:fldCharType="end"/>
      </w:r>
      <w:r>
        <w:t xml:space="preserve">. The detection of floating plastics with SAR is thus complex as both dark anomalies, reduced backscatter, and bright anomalies need to be considered as potential litter collections while removing the influence of noise from wind or other unwanted targets. Machine Learning (ML) models can learn these complex patterns in SAR data while accounting for variations in sea surface conditions. </w:t>
      </w:r>
    </w:p>
    <w:p w14:paraId="473E61F3" w14:textId="77777777" w:rsidR="003565D2" w:rsidRDefault="003565D2" w:rsidP="003565D2"/>
    <w:p w14:paraId="3F408444" w14:textId="3BDDEA4F" w:rsidR="003565D2" w:rsidRDefault="003565D2" w:rsidP="003565D2">
      <w:pPr>
        <w:pStyle w:val="Heading3"/>
      </w:pPr>
      <w:r>
        <w:t xml:space="preserve">2.4.4 Plastic Lookalikes </w:t>
      </w:r>
      <w:r>
        <w:t>in SAR</w:t>
      </w:r>
    </w:p>
    <w:p w14:paraId="291EF687" w14:textId="77777777" w:rsidR="003565D2" w:rsidRDefault="003565D2" w:rsidP="003565D2"/>
    <w:p w14:paraId="23E45A02" w14:textId="268B2217" w:rsidR="003565D2" w:rsidRDefault="003565D2" w:rsidP="003565D2">
      <w:r>
        <w:t>T</w:t>
      </w:r>
      <w:r>
        <w:t xml:space="preserve">alk about look </w:t>
      </w:r>
      <w:r>
        <w:t>alike</w:t>
      </w:r>
      <w:r>
        <w:t xml:space="preserve"> and why the wind</w:t>
      </w:r>
      <w:r>
        <w:t xml:space="preserve">, current and SST </w:t>
      </w:r>
      <w:r>
        <w:t>data can help</w:t>
      </w:r>
      <w:r>
        <w:t xml:space="preserve"> reduce false positives</w:t>
      </w:r>
    </w:p>
    <w:p w14:paraId="0A5DC4B7" w14:textId="35084B09" w:rsidR="003565D2" w:rsidRDefault="003565D2" w:rsidP="003565D2">
      <w:pPr>
        <w:pStyle w:val="ListParagraph"/>
        <w:numPr>
          <w:ilvl w:val="0"/>
          <w:numId w:val="3"/>
        </w:numPr>
      </w:pPr>
      <w:r>
        <w:t>Windrows</w:t>
      </w:r>
    </w:p>
    <w:p w14:paraId="43FDBEB6" w14:textId="6434089D" w:rsidR="003565D2" w:rsidRDefault="003565D2" w:rsidP="003565D2">
      <w:pPr>
        <w:pStyle w:val="ListParagraph"/>
        <w:numPr>
          <w:ilvl w:val="0"/>
          <w:numId w:val="3"/>
        </w:numPr>
      </w:pPr>
      <w:r>
        <w:t>Oil</w:t>
      </w:r>
    </w:p>
    <w:p w14:paraId="70CFC83F" w14:textId="0C8CCFB6" w:rsidR="003565D2" w:rsidRDefault="003565D2" w:rsidP="003565D2">
      <w:pPr>
        <w:pStyle w:val="ListParagraph"/>
        <w:numPr>
          <w:ilvl w:val="0"/>
          <w:numId w:val="3"/>
        </w:numPr>
      </w:pPr>
      <w:r>
        <w:t>Whitecaps/rough sea</w:t>
      </w:r>
    </w:p>
    <w:p w14:paraId="28DDEAEF" w14:textId="2477541E" w:rsidR="003565D2" w:rsidRDefault="003565D2" w:rsidP="003565D2">
      <w:pPr>
        <w:pStyle w:val="ListParagraph"/>
        <w:numPr>
          <w:ilvl w:val="0"/>
          <w:numId w:val="3"/>
        </w:numPr>
      </w:pPr>
      <w:r>
        <w:t>Current lines</w:t>
      </w:r>
    </w:p>
    <w:p w14:paraId="22394232" w14:textId="77777777" w:rsidR="00C4521F" w:rsidRDefault="00C4521F"/>
    <w:sectPr w:rsidR="00C45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BAF"/>
    <w:multiLevelType w:val="hybridMultilevel"/>
    <w:tmpl w:val="81AC1336"/>
    <w:lvl w:ilvl="0" w:tplc="A34E8B18">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5F28A5"/>
    <w:multiLevelType w:val="hybridMultilevel"/>
    <w:tmpl w:val="4DA65EF8"/>
    <w:lvl w:ilvl="0" w:tplc="81AC0E42">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5E10D24"/>
    <w:multiLevelType w:val="hybridMultilevel"/>
    <w:tmpl w:val="1EEA38C4"/>
    <w:lvl w:ilvl="0" w:tplc="6644DFA4">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86214034">
    <w:abstractNumId w:val="0"/>
  </w:num>
  <w:num w:numId="2" w16cid:durableId="1270813431">
    <w:abstractNumId w:val="2"/>
  </w:num>
  <w:num w:numId="3" w16cid:durableId="208959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D2"/>
    <w:rsid w:val="00196017"/>
    <w:rsid w:val="003565D2"/>
    <w:rsid w:val="007705A8"/>
    <w:rsid w:val="00C4521F"/>
    <w:rsid w:val="00D458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2E743"/>
  <w15:chartTrackingRefBased/>
  <w15:docId w15:val="{E384A593-702E-43F7-87D9-50CA3571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5D2"/>
    <w:rPr>
      <w:rFonts w:ascii="Calibri" w:hAnsi="Calibri"/>
    </w:rPr>
  </w:style>
  <w:style w:type="paragraph" w:styleId="Heading1">
    <w:name w:val="heading 1"/>
    <w:basedOn w:val="Normal"/>
    <w:next w:val="Normal"/>
    <w:link w:val="Heading1Char"/>
    <w:uiPriority w:val="9"/>
    <w:qFormat/>
    <w:rsid w:val="00356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6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D2"/>
    <w:rPr>
      <w:rFonts w:eastAsiaTheme="majorEastAsia" w:cstheme="majorBidi"/>
      <w:color w:val="272727" w:themeColor="text1" w:themeTint="D8"/>
    </w:rPr>
  </w:style>
  <w:style w:type="paragraph" w:styleId="Title">
    <w:name w:val="Title"/>
    <w:basedOn w:val="Normal"/>
    <w:next w:val="Normal"/>
    <w:link w:val="TitleChar"/>
    <w:uiPriority w:val="10"/>
    <w:qFormat/>
    <w:rsid w:val="00356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65D2"/>
    <w:rPr>
      <w:i/>
      <w:iCs/>
      <w:color w:val="404040" w:themeColor="text1" w:themeTint="BF"/>
    </w:rPr>
  </w:style>
  <w:style w:type="paragraph" w:styleId="ListParagraph">
    <w:name w:val="List Paragraph"/>
    <w:basedOn w:val="Normal"/>
    <w:uiPriority w:val="34"/>
    <w:qFormat/>
    <w:rsid w:val="003565D2"/>
    <w:pPr>
      <w:ind w:left="720"/>
      <w:contextualSpacing/>
    </w:pPr>
  </w:style>
  <w:style w:type="character" w:styleId="IntenseEmphasis">
    <w:name w:val="Intense Emphasis"/>
    <w:basedOn w:val="DefaultParagraphFont"/>
    <w:uiPriority w:val="21"/>
    <w:qFormat/>
    <w:rsid w:val="003565D2"/>
    <w:rPr>
      <w:i/>
      <w:iCs/>
      <w:color w:val="0F4761" w:themeColor="accent1" w:themeShade="BF"/>
    </w:rPr>
  </w:style>
  <w:style w:type="paragraph" w:styleId="IntenseQuote">
    <w:name w:val="Intense Quote"/>
    <w:basedOn w:val="Normal"/>
    <w:next w:val="Normal"/>
    <w:link w:val="IntenseQuoteChar"/>
    <w:uiPriority w:val="30"/>
    <w:qFormat/>
    <w:rsid w:val="00356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D2"/>
    <w:rPr>
      <w:i/>
      <w:iCs/>
      <w:color w:val="0F4761" w:themeColor="accent1" w:themeShade="BF"/>
    </w:rPr>
  </w:style>
  <w:style w:type="character" w:styleId="IntenseReference">
    <w:name w:val="Intense Reference"/>
    <w:basedOn w:val="DefaultParagraphFont"/>
    <w:uiPriority w:val="32"/>
    <w:qFormat/>
    <w:rsid w:val="003565D2"/>
    <w:rPr>
      <w:b/>
      <w:bCs/>
      <w:smallCaps/>
      <w:color w:val="0F4761" w:themeColor="accent1" w:themeShade="BF"/>
      <w:spacing w:val="5"/>
    </w:rPr>
  </w:style>
  <w:style w:type="table" w:styleId="TableGrid">
    <w:name w:val="Table Grid"/>
    <w:basedOn w:val="TableNormal"/>
    <w:uiPriority w:val="39"/>
    <w:rsid w:val="00356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565D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5295</Words>
  <Characters>30188</Characters>
  <Application>Microsoft Office Word</Application>
  <DocSecurity>0</DocSecurity>
  <Lines>251</Lines>
  <Paragraphs>70</Paragraphs>
  <ScaleCrop>false</ScaleCrop>
  <Company/>
  <LinksUpToDate>false</LinksUpToDate>
  <CharactersWithSpaces>35413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1</cp:revision>
  <dcterms:created xsi:type="dcterms:W3CDTF">2025-10-16T21:55:00Z</dcterms:created>
  <dcterms:modified xsi:type="dcterms:W3CDTF">2025-10-16T22:01:00Z</dcterms:modified>
</cp:coreProperties>
</file>