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50DA"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College Fight Songs Explorer</w:t>
      </w:r>
    </w:p>
    <w:p w14:paraId="538A963C" w14:textId="77777777" w:rsidR="00BC0420" w:rsidRPr="00BC0420" w:rsidRDefault="00BC0420" w:rsidP="00BC0420">
      <w:pPr>
        <w:rPr>
          <w:rFonts w:ascii="Times New Roman" w:hAnsi="Times New Roman" w:cs="Times New Roman"/>
        </w:rPr>
      </w:pPr>
      <w:r w:rsidRPr="00BC0420">
        <w:rPr>
          <w:rFonts w:ascii="Times New Roman" w:hAnsi="Times New Roman" w:cs="Times New Roman"/>
          <w:b/>
          <w:bCs/>
        </w:rPr>
        <w:t>An interactive exploration of tempo, lyrics, and tradition in college fight songs</w:t>
      </w:r>
    </w:p>
    <w:p w14:paraId="06B260E1"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This dashboard provides an interactive overview of college fight songs across major athletic conferences, focusing on how musical characteristics and lyrical tropes vary by school, era, and conference affiliation. Users can filter the data to explore patterns in tempo, song length, composition era, and common lyrical themes that define the genre.</w:t>
      </w:r>
    </w:p>
    <w:p w14:paraId="043B4C7E"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The dataset includes fight songs from the ACC, Big Ten, Big 12, Pac 12, SEC, and Notre Dame, with metadata on musical tempo measured in beats per minute, song duration in seconds, year of composition, and the presence of common lyrical tropes such as references to victory, school colors, opponents, or nonsensical chants.</w:t>
      </w:r>
    </w:p>
    <w:p w14:paraId="71F22C73"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Filters and Controls</w:t>
      </w:r>
    </w:p>
    <w:p w14:paraId="72A03E32"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The sidebar allows users to tailor the dataset dynamically. A conference selector lets users isolate fight songs from a single athletic conference or view all conferences together. A student written toggle restricts the view to songs written by students, allowing comparison between official institutional songs and grassroots compositions. A trope count slider filters songs based on how many common fight song tropes they contain, making it possible to examine minimalist versus highly traditional songs.</w:t>
      </w:r>
    </w:p>
    <w:p w14:paraId="087EFF46"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All filters update the visualizations simultaneously, encouraging exploratory analysis.</w:t>
      </w:r>
    </w:p>
    <w:p w14:paraId="0B13E4B1"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Summary Metrics</w:t>
      </w:r>
    </w:p>
    <w:p w14:paraId="15391FFD"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At the top of the dashboard, summary statistics provide a snapshot of the filtered data. These include the total number of songs, the average tempo, the average song length, the average number of lyrical tropes per song, and the percentage of songs designated as official school songs. Together, these metrics help users quickly understand how their selected subset compares to the broader dataset.</w:t>
      </w:r>
    </w:p>
    <w:p w14:paraId="4B8CDD8A"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Lyrical Tropes</w:t>
      </w:r>
    </w:p>
    <w:p w14:paraId="761BCC8C"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The first visualization examines what fight songs talk about. A grouped bar chart shows how frequently each lyrical trope appears across conferences, highlighting differences in stylistic emphasis. Some conferences rely more heavily on traditional elements such as fight or victory language, while others incorporate more playful or nonsensical phrasing.</w:t>
      </w:r>
    </w:p>
    <w:p w14:paraId="238319C3"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A histogram below the bar chart displays the distribution of trope counts per song. This reveals whether most fight songs cluster around a small number of tropes or whether highly trope dense songs are common.</w:t>
      </w:r>
    </w:p>
    <w:p w14:paraId="77800DE7"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Tempo and Duration</w:t>
      </w:r>
    </w:p>
    <w:p w14:paraId="06A23C60"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lastRenderedPageBreak/>
        <w:t>This visualization focuses on musical characteristics. A scatter plot compares song duration with tempo, with each point representing a fight song. The size of each point reflects the number of lyrical tropes present in the song.</w:t>
      </w:r>
    </w:p>
    <w:p w14:paraId="18F2E041"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This view allows users to explore whether faster songs tend to be shorter, whether longer songs include more lyrical elements, and whether stylistic patterns differ by conference. Hover interactions provide additional context such as school name, song title, year of composition, and trope count.</w:t>
      </w:r>
    </w:p>
    <w:p w14:paraId="3891EBFD"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Timeline</w:t>
      </w:r>
    </w:p>
    <w:p w14:paraId="51172299"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The timeline visualization shows the number of fight songs composed per decade. This highlights historical trends in fight song creation and provides context for periods of increased composition activity. These patterns can be interpreted alongside broader developments in college athletics and institutional identity.</w:t>
      </w:r>
    </w:p>
    <w:p w14:paraId="7F9731AD"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A table beneath the chart provides the exact number of songs per decade for users who want precise values.</w:t>
      </w:r>
    </w:p>
    <w:p w14:paraId="6659C1D7"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Schools Comparison</w:t>
      </w:r>
    </w:p>
    <w:p w14:paraId="1C6E4906"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The final section compares schools rather than individual songs. Schools are ranked by their average trope count, along with their average tempo and average song length. This makes it easier to identify institutions that consistently use highly traditional fight song elements versus those that adopt simpler or more modern styles.</w:t>
      </w:r>
    </w:p>
    <w:p w14:paraId="4DF41E94"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Full Data Access</w:t>
      </w:r>
    </w:p>
    <w:p w14:paraId="294604D6"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An expandable table at the bottom of the dashboard displays the full filtered dataset, allowing users to inspect individual songs and confirm patterns observed in the visualizations.</w:t>
      </w:r>
    </w:p>
    <w:p w14:paraId="7E343CE3" w14:textId="77777777" w:rsidR="00BC0420" w:rsidRPr="00BC0420" w:rsidRDefault="00BC0420" w:rsidP="00BC0420">
      <w:pPr>
        <w:rPr>
          <w:rFonts w:ascii="Times New Roman" w:hAnsi="Times New Roman" w:cs="Times New Roman"/>
          <w:b/>
          <w:bCs/>
        </w:rPr>
      </w:pPr>
      <w:r w:rsidRPr="00BC0420">
        <w:rPr>
          <w:rFonts w:ascii="Times New Roman" w:hAnsi="Times New Roman" w:cs="Times New Roman"/>
          <w:b/>
          <w:bCs/>
        </w:rPr>
        <w:t>Takeaway</w:t>
      </w:r>
    </w:p>
    <w:p w14:paraId="3510C4AE" w14:textId="77777777" w:rsidR="00BC0420" w:rsidRPr="00BC0420" w:rsidRDefault="00BC0420" w:rsidP="00BC0420">
      <w:pPr>
        <w:rPr>
          <w:rFonts w:ascii="Times New Roman" w:hAnsi="Times New Roman" w:cs="Times New Roman"/>
        </w:rPr>
      </w:pPr>
      <w:r w:rsidRPr="00BC0420">
        <w:rPr>
          <w:rFonts w:ascii="Times New Roman" w:hAnsi="Times New Roman" w:cs="Times New Roman"/>
        </w:rPr>
        <w:t>By combining interactive filters with multiple coordinated views, this dashboard illustrates how college fight songs vary across conferences, time periods, and institutions. It shows how tradition, musical structure, and lyrical content interact to shape a genre that plays a central role in school identity and athletic culture.</w:t>
      </w:r>
    </w:p>
    <w:p w14:paraId="3924DC58" w14:textId="77777777" w:rsidR="00BC0420" w:rsidRPr="00BC0420" w:rsidRDefault="00BC0420">
      <w:pPr>
        <w:rPr>
          <w:rFonts w:ascii="Times New Roman" w:hAnsi="Times New Roman" w:cs="Times New Roman"/>
        </w:rPr>
      </w:pPr>
    </w:p>
    <w:sectPr w:rsidR="00BC0420" w:rsidRPr="00BC0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20"/>
    <w:rsid w:val="00183D3E"/>
    <w:rsid w:val="00BC0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905B"/>
  <w15:chartTrackingRefBased/>
  <w15:docId w15:val="{2C70F4C3-CE56-4ACA-89CE-16EDB1E5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420"/>
    <w:rPr>
      <w:rFonts w:eastAsiaTheme="majorEastAsia" w:cstheme="majorBidi"/>
      <w:color w:val="272727" w:themeColor="text1" w:themeTint="D8"/>
    </w:rPr>
  </w:style>
  <w:style w:type="paragraph" w:styleId="Title">
    <w:name w:val="Title"/>
    <w:basedOn w:val="Normal"/>
    <w:next w:val="Normal"/>
    <w:link w:val="TitleChar"/>
    <w:uiPriority w:val="10"/>
    <w:qFormat/>
    <w:rsid w:val="00BC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420"/>
    <w:pPr>
      <w:spacing w:before="160"/>
      <w:jc w:val="center"/>
    </w:pPr>
    <w:rPr>
      <w:i/>
      <w:iCs/>
      <w:color w:val="404040" w:themeColor="text1" w:themeTint="BF"/>
    </w:rPr>
  </w:style>
  <w:style w:type="character" w:customStyle="1" w:styleId="QuoteChar">
    <w:name w:val="Quote Char"/>
    <w:basedOn w:val="DefaultParagraphFont"/>
    <w:link w:val="Quote"/>
    <w:uiPriority w:val="29"/>
    <w:rsid w:val="00BC0420"/>
    <w:rPr>
      <w:i/>
      <w:iCs/>
      <w:color w:val="404040" w:themeColor="text1" w:themeTint="BF"/>
    </w:rPr>
  </w:style>
  <w:style w:type="paragraph" w:styleId="ListParagraph">
    <w:name w:val="List Paragraph"/>
    <w:basedOn w:val="Normal"/>
    <w:uiPriority w:val="34"/>
    <w:qFormat/>
    <w:rsid w:val="00BC0420"/>
    <w:pPr>
      <w:ind w:left="720"/>
      <w:contextualSpacing/>
    </w:pPr>
  </w:style>
  <w:style w:type="character" w:styleId="IntenseEmphasis">
    <w:name w:val="Intense Emphasis"/>
    <w:basedOn w:val="DefaultParagraphFont"/>
    <w:uiPriority w:val="21"/>
    <w:qFormat/>
    <w:rsid w:val="00BC0420"/>
    <w:rPr>
      <w:i/>
      <w:iCs/>
      <w:color w:val="0F4761" w:themeColor="accent1" w:themeShade="BF"/>
    </w:rPr>
  </w:style>
  <w:style w:type="paragraph" w:styleId="IntenseQuote">
    <w:name w:val="Intense Quote"/>
    <w:basedOn w:val="Normal"/>
    <w:next w:val="Normal"/>
    <w:link w:val="IntenseQuoteChar"/>
    <w:uiPriority w:val="30"/>
    <w:qFormat/>
    <w:rsid w:val="00BC0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420"/>
    <w:rPr>
      <w:i/>
      <w:iCs/>
      <w:color w:val="0F4761" w:themeColor="accent1" w:themeShade="BF"/>
    </w:rPr>
  </w:style>
  <w:style w:type="character" w:styleId="IntenseReference">
    <w:name w:val="Intense Reference"/>
    <w:basedOn w:val="DefaultParagraphFont"/>
    <w:uiPriority w:val="32"/>
    <w:qFormat/>
    <w:rsid w:val="00BC0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83296">
      <w:bodyDiv w:val="1"/>
      <w:marLeft w:val="0"/>
      <w:marRight w:val="0"/>
      <w:marTop w:val="0"/>
      <w:marBottom w:val="0"/>
      <w:divBdr>
        <w:top w:val="none" w:sz="0" w:space="0" w:color="auto"/>
        <w:left w:val="none" w:sz="0" w:space="0" w:color="auto"/>
        <w:bottom w:val="none" w:sz="0" w:space="0" w:color="auto"/>
        <w:right w:val="none" w:sz="0" w:space="0" w:color="auto"/>
      </w:divBdr>
    </w:div>
    <w:div w:id="192167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sun</dc:creator>
  <cp:keywords/>
  <dc:description/>
  <cp:lastModifiedBy>joshua sun</cp:lastModifiedBy>
  <cp:revision>1</cp:revision>
  <dcterms:created xsi:type="dcterms:W3CDTF">2026-01-24T20:53:00Z</dcterms:created>
  <dcterms:modified xsi:type="dcterms:W3CDTF">2026-01-24T20:57:00Z</dcterms:modified>
</cp:coreProperties>
</file>