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Style w:val=""/>
        <w:tblW w:w="5000" w:type="pct"/>
        <w:jc w:val="start"/>
        <w:tblInd w:w="0" w:type="dxa"/>
        <w:tblLayout w:type="fixed"/>
        <w:tblCellMar>
          <w:top w:w="0" w:type="dxa"/>
          <w:start w:w="108" w:type="dxa"/>
          <w:bottom w:w="0" w:type="dxa"/>
          <w:end w:w="108" w:type="dxa"/>
        </w:tblCellMar>
        <w:tblLook/>
      </w:tblPr>
      <w:tblGrid>
        <w:gridCol w:w="3330"/>
        <w:gridCol w:w="6030"/>
      </w:tblGrid>
      <w:tr>
        <w:trPr/>
        <w:tc>
          <w:tcPr>
            <w:tcW w:w="3330" w:type="dxa"/>
            <w:tcBorders/>
          </w:tcPr>
          <w:p>
            <w:r>
              <w:t>Practicum Week: 6</w:t>
            </w:r>
          </w:p>
        </w:tc>
        <w:tc>
          <w:tcPr>
            <w:tcW w:w="6030" w:type="dxa"/>
            <w:tcBorders/>
          </w:tcPr>
          <w:p>
            <w:r>
              <w:t>Date: June 25, 2026</w:t>
            </w:r>
          </w:p>
        </w:tc>
      </w:tr>
      <w:tr>
        <w:trPr/>
        <w:tc>
          <w:tcPr>
            <w:tcW w:w="3330" w:type="dxa"/>
            <w:tcBorders/>
          </w:tcPr>
          <w:p>
            <w:pPr>
              <w:pStyle w:val="Normal"/>
              <w:widowControl/>
              <w:bidi w:val="0"/>
              <w:spacing w:lineRule="auto" w:line="276" w:before="0" w:after="200"/>
              <w:jc w:val="start"/>
              <w:rPr/>
            </w:pPr>
            <w:r>
              <w:rPr/>
              <w:t>Your Name: Joshua Atkinson</w:t>
            </w:r>
          </w:p>
        </w:tc>
        <w:tc>
          <w:tcPr>
            <w:tcW w:w="6030" w:type="dxa"/>
            <w:tcBorders/>
          </w:tcPr>
          <w:p>
            <w:pPr>
              <w:pStyle w:val="Normal"/>
              <w:widowControl/>
              <w:bidi w:val="0"/>
              <w:spacing w:lineRule="auto" w:line="276" w:before="0" w:after="200"/>
              <w:jc w:val="start"/>
              <w:rPr/>
            </w:pPr>
            <w:r>
              <w:rPr/>
              <w:t>Project Name: Voix Vive — Somatic Guitar Mentorship Platform</w:t>
            </w:r>
          </w:p>
        </w:tc>
      </w:tr>
    </w:tbl>
    <w:p>
      <w:pPr>
        <w:pStyle w:val="Normal"/>
        <w:rPr>
          <w:b/>
        </w:rPr>
      </w:pPr>
      <w:r>
        <w:rPr>
          <w:b/>
        </w:rPr>
      </w:r>
    </w:p>
    <w:p>
      <w:pPr>
        <w:pStyle w:val="Normal"/>
        <w:rPr>
          <w:b/>
        </w:rPr>
      </w:pPr>
      <w:r>
        <w:rPr>
          <w:b/>
        </w:rPr>
        <w:t xml:space="preserve">OVERALL PROJECT HEALTH  </w:t>
      </w:r>
    </w:p>
    <w:tbl>
      <w:tblPr>
        <w:tblStyle w:val=""/>
        <w:tblW w:w="5000" w:type="pct"/>
        <w:jc w:val="start"/>
        <w:tblInd w:w="0" w:type="dxa"/>
        <w:tblLayout w:type="fixed"/>
        <w:tblCellMar>
          <w:top w:w="0" w:type="dxa"/>
          <w:start w:w="108" w:type="dxa"/>
          <w:bottom w:w="0" w:type="dxa"/>
          <w:end w:w="108" w:type="dxa"/>
        </w:tblCellMar>
        <w:tblLook/>
      </w:tblPr>
      <w:tblGrid>
        <w:gridCol w:w="3120"/>
        <w:gridCol w:w="3120"/>
        <w:gridCol w:w="3120"/>
      </w:tblGrid>
      <w:tr>
        <w:trPr/>
        <w:tc>
          <w:tcPr>
            <w:tcW w:w="3120" w:type="dxa"/>
            <w:tcBorders/>
          </w:tcPr>
          <w:p>
            <w:pPr>
              <w:pStyle w:val="Normal"/>
              <w:widowControl/>
              <w:bidi w:val="0"/>
              <w:spacing w:lineRule="auto" w:line="276" w:before="0" w:after="200"/>
              <w:jc w:val="start"/>
              <w:rPr/>
            </w:pPr>
            <w:r>
              <w:rPr/>
              <w:t xml:space="preserve"> </w:t>
            </w:r>
            <w:r>
              <w:rPr/>
              <w:t>X  On Target</w:t>
            </w:r>
          </w:p>
        </w:tc>
        <w:tc>
          <w:tcPr>
            <w:tcW w:w="3120" w:type="dxa"/>
            <w:tcBorders/>
          </w:tcPr>
          <w:p>
            <w:pPr>
              <w:pStyle w:val="Normal"/>
              <w:widowControl/>
              <w:bidi w:val="0"/>
              <w:spacing w:lineRule="auto" w:line="276" w:before="0" w:after="200"/>
              <w:jc w:val="start"/>
              <w:rPr/>
            </w:pPr>
            <w:r>
              <w:rPr/>
              <w:t>___ At Risk</w:t>
            </w:r>
          </w:p>
        </w:tc>
        <w:tc>
          <w:tcPr>
            <w:tcW w:w="3120" w:type="dxa"/>
            <w:tcBorders/>
          </w:tcPr>
          <w:p>
            <w:pPr>
              <w:pStyle w:val="Normal"/>
              <w:widowControl/>
              <w:bidi w:val="0"/>
              <w:spacing w:lineRule="auto" w:line="276" w:before="0" w:after="200"/>
              <w:jc w:val="start"/>
              <w:rPr/>
            </w:pPr>
            <w:r>
              <w:rPr/>
              <w:t>___ In Danger</w:t>
            </w:r>
          </w:p>
        </w:tc>
      </w:tr>
    </w:tbl>
    <w:p>
      <w:pPr>
        <w:pStyle w:val="Normal"/>
        <w:rPr/>
      </w:pPr>
      <w:r>
        <w:t xml:space="preserve">This week saw a monumental leap in technical development, pushing the project past the prototype phase and into a fully operational business platform. Development occurred across multiple IDEs simultaneously to tackle different layers of the stack. </w:t>
        <w:br/>
        <w:br/>
        <w:t>Key milestones include:</w:t>
        <w:br/>
        <w:t>1. Spatial Engine &amp; AI: Successfully built a Rust-based `spatial-engine` for sensor fusion and spatial audio. Integrated `@wllama/wllama` and `kokoro-js` into the companion app to enable completely on-device, local AI voice coaching, eliminating server latency and costs.</w:t>
        <w:br/>
        <w:t>2. Business Operations: Deployed `MentorDashboard.jsx` and resolved the previous Google Drive OAuth blockers, completing the asynchronous video coaching workflow. Integrated Stripe checkout webhooks and Google Calendar scheduling via Supabase Edge Functions.</w:t>
        <w:br/>
        <w:t>3. Quality Assurance: Implemented a comprehensive End-to-End (E2E) automated testing framework using Playwright. This simulated a student navigating the "BE", "DO", and "PLAY" phases to ensure the 1600+ new file changes did not break the core pedagogical loop.</w:t>
      </w:r>
    </w:p>
    <w:tbl>
      <w:tblPr>
        <w:tblStyle w:val=""/>
        <w:tblW w:w="5000" w:type="pct"/>
        <w:jc w:val="start"/>
        <w:tblInd w:w="0" w:type="dxa"/>
        <w:tblLayout w:type="fixed"/>
        <w:tblCellMar>
          <w:top w:w="0" w:type="dxa"/>
          <w:start w:w="108" w:type="dxa"/>
          <w:bottom w:w="0" w:type="dxa"/>
          <w:end w:w="108" w:type="dxa"/>
        </w:tblCellMar>
        <w:tblLook/>
      </w:tblPr>
      <w:tblGrid>
        <w:gridCol w:w="1815"/>
        <w:gridCol w:w="360"/>
        <w:gridCol w:w="450"/>
        <w:gridCol w:w="360"/>
        <w:gridCol w:w="450"/>
        <w:gridCol w:w="5925"/>
      </w:tblGrid>
      <w:tr>
        <w:trPr>
          <w:cantSplit w:val="true"/>
        </w:trPr>
        <w:tc>
          <w:tcPr>
            <w:tcW w:w="1815" w:type="dxa"/>
            <w:tcBorders/>
          </w:tcPr>
          <w:p>
            <w:pPr>
              <w:pStyle w:val="Normal"/>
              <w:spacing w:before="0" w:after="200"/>
              <w:rPr>
                <w:b/>
              </w:rPr>
            </w:pPr>
            <w:r>
              <w:rPr>
                <w:b/>
              </w:rPr>
              <w:t>DELIVERABLES/COMPONENTS/ACTIVITIES</w:t>
            </w:r>
          </w:p>
        </w:tc>
        <w:tc>
          <w:tcPr>
            <w:tcW w:w="360" w:type="dxa"/>
            <w:tcBorders/>
          </w:tcPr>
          <w:p>
            <w:pPr>
              <w:pStyle w:val="Normal"/>
              <w:spacing w:before="0" w:after="200"/>
              <w:jc w:val="start"/>
              <w:rPr>
                <w:b/>
                <w:sz w:val="0"/>
              </w:rPr>
            </w:pPr>
            <w:r>
              <w:rPr>
                <w:b/>
                <w:sz w:val="0"/>
              </w:rPr>
              <w:t>Not Started</w:t>
            </w:r>
          </w:p>
        </w:tc>
        <w:tc>
          <w:tcPr>
            <w:tcW w:w="450" w:type="dxa"/>
            <w:tcBorders/>
          </w:tcPr>
          <w:p>
            <w:pPr>
              <w:pStyle w:val="Normal"/>
              <w:spacing w:before="0" w:after="200"/>
              <w:jc w:val="start"/>
              <w:rPr>
                <w:color w:val="800080"/>
                <w:highlight w:val="none"/>
                <w:shd w:fill="77BC65" w:val="clear"/>
              </w:rPr>
            </w:pPr>
            <w:r>
              <w:rPr>
                <w:b/>
                <w:color w:val="800080"/>
                <w:sz w:val="0"/>
                <w:shd w:fill="77BC65" w:val="clear"/>
              </w:rPr>
              <w:t>On Target</w:t>
            </w:r>
          </w:p>
        </w:tc>
        <w:tc>
          <w:tcPr>
            <w:tcW w:w="360" w:type="dxa"/>
            <w:tcBorders/>
          </w:tcPr>
          <w:p>
            <w:pPr>
              <w:pStyle w:val="Normal"/>
              <w:spacing w:before="0" w:after="200"/>
              <w:jc w:val="start"/>
              <w:rPr>
                <w:color w:val="C9211E"/>
                <w:highlight w:val="none"/>
                <w:shd w:fill="B4C7DC" w:val="clear"/>
              </w:rPr>
            </w:pPr>
            <w:r>
              <w:rPr>
                <w:b/>
                <w:color w:val="C9211E"/>
                <w:sz w:val="0"/>
                <w:shd w:fill="B4C7DC" w:val="clear"/>
              </w:rPr>
              <w:t>At Risk</w:t>
            </w:r>
          </w:p>
        </w:tc>
        <w:tc>
          <w:tcPr>
            <w:tcW w:w="450" w:type="dxa"/>
            <w:tcBorders/>
          </w:tcPr>
          <w:p>
            <w:pPr>
              <w:pStyle w:val="Normal"/>
              <w:spacing w:before="0" w:after="200"/>
              <w:jc w:val="start"/>
              <w:rPr>
                <w:b/>
                <w:sz w:val="0"/>
              </w:rPr>
            </w:pPr>
            <w:r>
              <w:rPr>
                <w:b/>
                <w:sz w:val="0"/>
              </w:rPr>
              <w:t>In Danger</w:t>
            </w:r>
          </w:p>
        </w:tc>
        <w:tc>
          <w:tcPr>
            <w:tcW w:w="5925" w:type="dxa"/>
            <w:tcBorders/>
          </w:tcPr>
          <w:p>
            <w:pPr>
              <w:pStyle w:val="Normal"/>
              <w:spacing w:before="0" w:after="200"/>
              <w:rPr>
                <w:b/>
              </w:rPr>
            </w:pPr>
            <w:r>
              <w:rPr>
                <w:b/>
              </w:rPr>
              <w:t>NOTES</w:t>
            </w:r>
          </w:p>
        </w:tc>
      </w:tr>
      <w:tr>
        <w:trPr>
          <w:cantSplit w:val="true"/>
        </w:trPr>
        <w:tc>
          <w:tcPr>
            <w:tcW w:w="1815" w:type="dxa"/>
            <w:tcBorders/>
          </w:tcPr>
          <w:p>
            <w:pPr>
              <w:pStyle w:val="Normal"/>
              <w:widowControl/>
              <w:bidi w:val="0"/>
              <w:spacing w:lineRule="auto" w:line="276" w:before="0" w:after="200"/>
              <w:jc w:val="start"/>
              <w:rPr/>
            </w:pPr>
            <w:r>
              <w:rPr/>
              <w:t>1. Analysis — Learner/SME Needs Analysis</w:t>
            </w:r>
          </w:p>
        </w:tc>
        <w:tc>
          <w:tcPr>
            <w:tcW w:w="360" w:type="dxa"/>
            <w:tcBorders/>
          </w:tcPr>
          <w:p>
            <w:pPr>
              <w:pStyle w:val="Normal"/>
              <w:spacing w:before="0" w:after="200"/>
              <w:jc w:val="start"/>
              <w:rPr/>
            </w:pPr>
            <w:r>
              <w:rPr/>
            </w:r>
          </w:p>
        </w:tc>
        <w:tc>
          <w:tcPr>
            <w:tcW w:w="450" w:type="dxa"/>
            <w:tcBorders/>
          </w:tcPr>
          <w:p>
            <w:pPr>
              <w:pStyle w:val="Normal"/>
              <w:spacing w:before="0" w:after="200"/>
              <w:jc w:val="start"/>
              <w:rPr>
                <w:color w:val="800080"/>
                <w:highlight w:val="none"/>
                <w:shd w:fill="77BC65" w:val="clear"/>
              </w:rPr>
            </w:pPr>
            <w:r>
              <w:rPr>
                <w:color w:val="800080"/>
                <w:shd w:fill="77BC65" w:val="clear"/>
              </w:rPr>
              <w:t>X</w:t>
            </w:r>
          </w:p>
        </w:tc>
        <w:tc>
          <w:tcPr>
            <w:tcW w:w="360" w:type="dxa"/>
            <w:tcBorders/>
          </w:tcPr>
          <w:p>
            <w:pPr>
              <w:pStyle w:val="Normal"/>
              <w:spacing w:before="0" w:after="200"/>
              <w:jc w:val="start"/>
              <w:rPr>
                <w:color w:val="C9211E"/>
                <w:highlight w:val="none"/>
                <w:shd w:fill="B4C7DC" w:val="clear"/>
              </w:rPr>
            </w:pPr>
            <w:r>
              <w:rPr>
                <w:color w:val="C9211E"/>
                <w:shd w:fill="B4C7DC" w:val="clear"/>
              </w:rPr>
            </w:r>
          </w:p>
        </w:tc>
        <w:tc>
          <w:tcPr>
            <w:tcW w:w="450" w:type="dxa"/>
            <w:tcBorders/>
          </w:tcPr>
          <w:p>
            <w:pPr>
              <w:pStyle w:val="Normal"/>
              <w:spacing w:before="0" w:after="200"/>
              <w:jc w:val="start"/>
              <w:rPr/>
            </w:pPr>
            <w:r>
              <w:rPr/>
            </w:r>
          </w:p>
        </w:tc>
        <w:tc>
          <w:tcPr>
            <w:tcW w:w="5925" w:type="dxa"/>
            <w:tcBorders/>
          </w:tcPr>
          <w:p>
            <w:pPr>
              <w:pStyle w:val="Normal"/>
              <w:widowControl/>
              <w:bidi w:val="0"/>
              <w:spacing w:lineRule="auto" w:line="276" w:before="0" w:after="200"/>
              <w:jc w:val="start"/>
              <w:rPr/>
            </w:pPr>
            <w:r>
              <w:rPr/>
              <w:t>Complete. Conducted 90-min SME session with Bertrand Laurence (May 27, recorded/transcribed). Bertrand confirmed: "What is the source of inspiration? That's my quest." Learner profile: adult guitarists (30-65), performance anxiety, somatic pedagogy.</w:t>
            </w:r>
          </w:p>
        </w:tc>
      </w:tr>
      <w:tr>
        <w:trPr>
          <w:cantSplit w:val="true"/>
        </w:trPr>
        <w:tc>
          <w:tcPr>
            <w:tcW w:w="1815" w:type="dxa"/>
            <w:tcBorders/>
          </w:tcPr>
          <w:p>
            <w:pPr>
              <w:pStyle w:val="Normal"/>
              <w:widowControl/>
              <w:bidi w:val="0"/>
              <w:spacing w:lineRule="auto" w:line="276" w:before="0" w:after="200"/>
              <w:jc w:val="start"/>
              <w:rPr/>
            </w:pPr>
            <w:r>
              <w:rPr/>
              <w:t>2. Content Analysis &amp; Objectives</w:t>
            </w:r>
          </w:p>
        </w:tc>
        <w:tc>
          <w:tcPr>
            <w:tcW w:w="360" w:type="dxa"/>
            <w:tcBorders/>
          </w:tcPr>
          <w:p>
            <w:pPr>
              <w:pStyle w:val="Normal"/>
              <w:spacing w:before="0" w:after="200"/>
              <w:jc w:val="start"/>
              <w:rPr/>
            </w:pPr>
            <w:r>
              <w:rPr/>
            </w:r>
          </w:p>
        </w:tc>
        <w:tc>
          <w:tcPr>
            <w:tcW w:w="450" w:type="dxa"/>
            <w:tcBorders/>
          </w:tcPr>
          <w:p>
            <w:pPr>
              <w:pStyle w:val="Normal"/>
              <w:spacing w:before="0" w:after="200"/>
              <w:jc w:val="start"/>
              <w:rPr>
                <w:color w:val="800080"/>
                <w:highlight w:val="none"/>
                <w:shd w:fill="77BC65" w:val="clear"/>
              </w:rPr>
            </w:pPr>
            <w:r>
              <w:rPr>
                <w:color w:val="800080"/>
                <w:shd w:fill="77BC65" w:val="clear"/>
              </w:rPr>
              <w:t>X</w:t>
            </w:r>
          </w:p>
        </w:tc>
        <w:tc>
          <w:tcPr>
            <w:tcW w:w="360" w:type="dxa"/>
            <w:tcBorders/>
          </w:tcPr>
          <w:p>
            <w:pPr>
              <w:pStyle w:val="Normal"/>
              <w:spacing w:before="0" w:after="200"/>
              <w:jc w:val="start"/>
              <w:rPr>
                <w:color w:val="C9211E"/>
                <w:highlight w:val="none"/>
                <w:shd w:fill="B4C7DC" w:val="clear"/>
              </w:rPr>
            </w:pPr>
            <w:r>
              <w:rPr>
                <w:color w:val="C9211E"/>
                <w:shd w:fill="B4C7DC" w:val="clear"/>
              </w:rPr>
            </w:r>
          </w:p>
        </w:tc>
        <w:tc>
          <w:tcPr>
            <w:tcW w:w="450" w:type="dxa"/>
            <w:tcBorders/>
          </w:tcPr>
          <w:p>
            <w:pPr>
              <w:pStyle w:val="Normal"/>
              <w:spacing w:before="0" w:after="200"/>
              <w:jc w:val="start"/>
              <w:rPr/>
            </w:pPr>
            <w:r>
              <w:rPr/>
            </w:r>
          </w:p>
        </w:tc>
        <w:tc>
          <w:tcPr>
            <w:tcW w:w="5925" w:type="dxa"/>
            <w:tcBorders/>
          </w:tcPr>
          <w:p>
            <w:pPr>
              <w:pStyle w:val="Normal"/>
              <w:widowControl/>
              <w:bidi w:val="0"/>
              <w:spacing w:lineRule="auto" w:line="276" w:before="0" w:after="200"/>
              <w:jc w:val="start"/>
              <w:rPr/>
            </w:pPr>
            <w:r>
              <w:rPr/>
              <w:t>Complete. 12-chapter curriculum mapped to 12 chromatic intervals via Hero's Journey. 5 measurable goals defined (Audiation ≥60%, Pitch ≥20% reduction, Somatic ≥2pt, Flow ≥3.5, AI cost $0). Bertrand's 3 protocols (©SHEARL, ©PLING!, ©FHEAL) documented.</w:t>
            </w:r>
          </w:p>
        </w:tc>
      </w:tr>
      <w:tr>
        <w:trPr>
          <w:cantSplit w:val="true"/>
        </w:trPr>
        <w:tc>
          <w:tcPr>
            <w:tcW w:w="1815" w:type="dxa"/>
            <w:tcBorders/>
          </w:tcPr>
          <w:p>
            <w:pPr>
              <w:pStyle w:val="Normal"/>
              <w:widowControl/>
              <w:bidi w:val="0"/>
              <w:spacing w:lineRule="auto" w:line="276" w:before="0" w:after="200"/>
              <w:jc w:val="start"/>
              <w:rPr/>
            </w:pPr>
            <w:r>
              <w:rPr/>
              <w:t>3. Curriculum Blueprint (144-node DAG)</w:t>
            </w:r>
          </w:p>
        </w:tc>
        <w:tc>
          <w:tcPr>
            <w:tcW w:w="360" w:type="dxa"/>
            <w:tcBorders/>
          </w:tcPr>
          <w:p>
            <w:pPr>
              <w:pStyle w:val="Normal"/>
              <w:spacing w:before="0" w:after="200"/>
              <w:jc w:val="start"/>
              <w:rPr/>
            </w:pPr>
            <w:r>
              <w:rPr/>
            </w:r>
          </w:p>
        </w:tc>
        <w:tc>
          <w:tcPr>
            <w:tcW w:w="450" w:type="dxa"/>
            <w:tcBorders/>
          </w:tcPr>
          <w:p>
            <w:pPr>
              <w:pStyle w:val="Normal"/>
              <w:spacing w:before="0" w:after="200"/>
              <w:jc w:val="start"/>
              <w:rPr>
                <w:color w:val="800080"/>
                <w:highlight w:val="none"/>
                <w:shd w:fill="77BC65" w:val="clear"/>
              </w:rPr>
            </w:pPr>
            <w:r>
              <w:rPr>
                <w:color w:val="800080"/>
                <w:shd w:fill="77BC65" w:val="clear"/>
              </w:rPr>
              <w:t>X</w:t>
            </w:r>
          </w:p>
        </w:tc>
        <w:tc>
          <w:tcPr>
            <w:tcW w:w="360" w:type="dxa"/>
            <w:tcBorders/>
          </w:tcPr>
          <w:p>
            <w:pPr>
              <w:pStyle w:val="Normal"/>
              <w:spacing w:before="0" w:after="200"/>
              <w:jc w:val="start"/>
              <w:rPr>
                <w:color w:val="C9211E"/>
                <w:highlight w:val="none"/>
                <w:shd w:fill="B4C7DC" w:val="clear"/>
              </w:rPr>
            </w:pPr>
            <w:r>
              <w:rPr>
                <w:color w:val="C9211E"/>
                <w:shd w:fill="B4C7DC" w:val="clear"/>
              </w:rPr>
            </w:r>
          </w:p>
        </w:tc>
        <w:tc>
          <w:tcPr>
            <w:tcW w:w="450" w:type="dxa"/>
            <w:tcBorders/>
          </w:tcPr>
          <w:p>
            <w:pPr>
              <w:pStyle w:val="Normal"/>
              <w:spacing w:before="0" w:after="200"/>
              <w:jc w:val="start"/>
              <w:rPr/>
            </w:pPr>
            <w:r>
              <w:rPr/>
            </w:r>
          </w:p>
        </w:tc>
        <w:tc>
          <w:tcPr>
            <w:tcW w:w="5925" w:type="dxa"/>
            <w:tcBorders/>
          </w:tcPr>
          <w:p>
            <w:pPr>
              <w:pStyle w:val="Normal"/>
              <w:widowControl/>
              <w:bidi w:val="0"/>
              <w:spacing w:lineRule="auto" w:line="276" w:before="0" w:after="200"/>
              <w:jc w:val="start"/>
              <w:rPr/>
            </w:pPr>
            <w:r>
              <w:rPr/>
              <w:t>Complete. 144-node Directed Acyclic Graph with BE→DO→PLAY gates per fret. Hand-written Troubadour coaching prompts for all 12 frets grounded in SME pedagogy.</w:t>
            </w:r>
          </w:p>
        </w:tc>
      </w:tr>
      <w:tr>
        <w:trPr>
          <w:cantSplit w:val="true"/>
        </w:trPr>
        <w:tc>
          <w:tcPr>
            <w:tcW w:w="1815" w:type="dxa"/>
            <w:tcBorders/>
          </w:tcPr>
          <w:p>
            <w:pPr>
              <w:pStyle w:val="Normal"/>
              <w:widowControl/>
              <w:bidi w:val="0"/>
              <w:spacing w:lineRule="auto" w:line="276" w:before="0" w:after="200"/>
              <w:jc w:val="start"/>
              <w:rPr/>
            </w:pPr>
            <w:r>
              <w:rPr/>
              <w:t>4. Living Textbook (12-chapter reader)</w:t>
            </w:r>
          </w:p>
        </w:tc>
        <w:tc>
          <w:tcPr>
            <w:tcW w:w="360" w:type="dxa"/>
            <w:tcBorders/>
          </w:tcPr>
          <w:p>
            <w:pPr>
              <w:pStyle w:val="Normal"/>
              <w:spacing w:before="0" w:after="200"/>
              <w:jc w:val="start"/>
              <w:rPr/>
            </w:pPr>
            <w:r>
              <w:rPr/>
            </w:r>
          </w:p>
        </w:tc>
        <w:tc>
          <w:tcPr>
            <w:tcW w:w="450" w:type="dxa"/>
            <w:tcBorders/>
          </w:tcPr>
          <w:p>
            <w:pPr>
              <w:pStyle w:val="Normal"/>
              <w:spacing w:before="0" w:after="200"/>
              <w:jc w:val="start"/>
              <w:rPr>
                <w:color w:val="800080"/>
                <w:highlight w:val="none"/>
                <w:shd w:fill="77BC65" w:val="clear"/>
              </w:rPr>
            </w:pPr>
            <w:r>
              <w:rPr>
                <w:color w:val="800080"/>
                <w:shd w:fill="77BC65" w:val="clear"/>
              </w:rPr>
              <w:t>X</w:t>
            </w:r>
          </w:p>
        </w:tc>
        <w:tc>
          <w:tcPr>
            <w:tcW w:w="360" w:type="dxa"/>
            <w:tcBorders/>
          </w:tcPr>
          <w:p>
            <w:pPr>
              <w:pStyle w:val="Normal"/>
              <w:spacing w:before="0" w:after="200"/>
              <w:jc w:val="start"/>
              <w:rPr>
                <w:color w:val="C9211E"/>
                <w:highlight w:val="none"/>
                <w:shd w:fill="B4C7DC" w:val="clear"/>
              </w:rPr>
            </w:pPr>
            <w:r>
              <w:rPr>
                <w:color w:val="C9211E"/>
                <w:shd w:fill="B4C7DC" w:val="clear"/>
              </w:rPr>
            </w:r>
          </w:p>
        </w:tc>
        <w:tc>
          <w:tcPr>
            <w:tcW w:w="450" w:type="dxa"/>
            <w:tcBorders/>
          </w:tcPr>
          <w:p>
            <w:pPr>
              <w:pStyle w:val="Normal"/>
              <w:spacing w:before="0" w:after="200"/>
              <w:jc w:val="start"/>
              <w:rPr/>
            </w:pPr>
            <w:r>
              <w:rPr/>
            </w:r>
          </w:p>
        </w:tc>
        <w:tc>
          <w:tcPr>
            <w:tcW w:w="5925" w:type="dxa"/>
            <w:tcBorders/>
          </w:tcPr>
          <w:p>
            <w:pPr>
              <w:pStyle w:val="Normal"/>
              <w:widowControl/>
              <w:bidi w:val="0"/>
              <w:spacing w:lineRule="auto" w:line="276" w:before="0" w:after="200"/>
              <w:jc w:val="start"/>
              <w:rPr/>
            </w:pPr>
            <w:r>
              <w:rPr/>
              <w:t>Complete. 12 chapters, 96 slides, swipeable with artwork, Pythagorean ratio context, bilingual EN/FR (340+ keys). Bertrand reviewed on his device during SME meeting — "Pretty cool. Beautiful art."</w:t>
            </w:r>
          </w:p>
        </w:tc>
      </w:tr>
      <w:tr>
        <w:trPr>
          <w:cantSplit w:val="true"/>
        </w:trPr>
        <w:tc>
          <w:tcPr>
            <w:tcW w:w="1815" w:type="dxa"/>
            <w:tcBorders/>
          </w:tcPr>
          <w:p>
            <w:pPr>
              <w:pStyle w:val="Normal"/>
              <w:widowControl/>
              <w:bidi w:val="0"/>
              <w:spacing w:lineRule="auto" w:line="276" w:before="0" w:after="200"/>
              <w:jc w:val="start"/>
              <w:rPr/>
            </w:pPr>
            <w:r>
              <w:rPr/>
              <w:t>5. Troubadour Playbook (12 practice tools)</w:t>
            </w:r>
          </w:p>
        </w:tc>
        <w:tc>
          <w:tcPr>
            <w:tcW w:w="360" w:type="dxa"/>
            <w:tcBorders/>
          </w:tcPr>
          <w:p>
            <w:pPr>
              <w:pStyle w:val="Normal"/>
              <w:spacing w:before="0" w:after="200"/>
              <w:jc w:val="start"/>
              <w:rPr/>
            </w:pPr>
            <w:r>
              <w:rPr/>
            </w:r>
          </w:p>
        </w:tc>
        <w:tc>
          <w:tcPr>
            <w:tcW w:w="450" w:type="dxa"/>
            <w:tcBorders/>
          </w:tcPr>
          <w:p>
            <w:pPr>
              <w:pStyle w:val="Normal"/>
              <w:spacing w:before="0" w:after="200"/>
              <w:jc w:val="start"/>
              <w:rPr>
                <w:color w:val="800080"/>
                <w:highlight w:val="none"/>
                <w:shd w:fill="77BC65" w:val="clear"/>
              </w:rPr>
            </w:pPr>
            <w:r>
              <w:rPr>
                <w:color w:val="800080"/>
                <w:shd w:fill="77BC65" w:val="clear"/>
              </w:rPr>
              <w:t>X</w:t>
            </w:r>
          </w:p>
        </w:tc>
        <w:tc>
          <w:tcPr>
            <w:tcW w:w="360" w:type="dxa"/>
            <w:tcBorders/>
          </w:tcPr>
          <w:p>
            <w:pPr>
              <w:pStyle w:val="Normal"/>
              <w:spacing w:before="0" w:after="200"/>
              <w:jc w:val="start"/>
              <w:rPr>
                <w:color w:val="C9211E"/>
                <w:highlight w:val="none"/>
                <w:shd w:fill="B4C7DC" w:val="clear"/>
              </w:rPr>
            </w:pPr>
            <w:r>
              <w:rPr>
                <w:color w:val="C9211E"/>
                <w:shd w:fill="B4C7DC" w:val="clear"/>
              </w:rPr>
            </w:r>
          </w:p>
        </w:tc>
        <w:tc>
          <w:tcPr>
            <w:tcW w:w="450" w:type="dxa"/>
            <w:tcBorders/>
          </w:tcPr>
          <w:p>
            <w:pPr>
              <w:pStyle w:val="Normal"/>
              <w:spacing w:before="0" w:after="200"/>
              <w:jc w:val="start"/>
              <w:rPr/>
            </w:pPr>
            <w:r>
              <w:rPr/>
            </w:r>
          </w:p>
        </w:tc>
        <w:tc>
          <w:tcPr>
            <w:tcW w:w="5925" w:type="dxa"/>
            <w:tcBorders/>
          </w:tcPr>
          <w:p>
            <w:pPr>
              <w:pStyle w:val="Normal"/>
              <w:widowControl/>
              <w:bidi w:val="0"/>
              <w:spacing w:lineRule="auto" w:line="276" w:before="0" w:after="200"/>
              <w:jc w:val="start"/>
              <w:rPr/>
            </w:pPr>
            <w:r>
              <w:rPr/>
              <w:t>Complete. 12 interactive tools mapped to 12 frets. Bertrand tested the breathing gate and guitar fretboard during walkthrough. Feedback on fretboard: "It would make a nice substitute if they don't have their guitar."</w:t>
            </w:r>
          </w:p>
        </w:tc>
      </w:tr>
      <w:tr>
        <w:trPr>
          <w:cantSplit w:val="true"/>
        </w:trPr>
        <w:tc>
          <w:tcPr>
            <w:tcW w:w="1815" w:type="dxa"/>
            <w:tcBorders/>
          </w:tcPr>
          <w:p>
            <w:pPr>
              <w:pStyle w:val="Normal"/>
              <w:widowControl/>
              <w:bidi w:val="0"/>
              <w:spacing w:lineRule="auto" w:line="276" w:before="0" w:after="200"/>
              <w:jc w:val="start"/>
              <w:rPr/>
            </w:pPr>
            <w:r>
              <w:rPr/>
              <w:t>6. Vertiscale Imagination Engine</w:t>
            </w:r>
          </w:p>
        </w:tc>
        <w:tc>
          <w:tcPr>
            <w:tcW w:w="360" w:type="dxa"/>
            <w:tcBorders/>
          </w:tcPr>
          <w:p>
            <w:pPr>
              <w:pStyle w:val="Normal"/>
              <w:spacing w:before="0" w:after="200"/>
              <w:jc w:val="start"/>
              <w:rPr/>
            </w:pPr>
            <w:r>
              <w:rPr/>
            </w:r>
          </w:p>
        </w:tc>
        <w:tc>
          <w:tcPr>
            <w:tcW w:w="450" w:type="dxa"/>
            <w:tcBorders/>
          </w:tcPr>
          <w:p>
            <w:pPr>
              <w:pStyle w:val="Normal"/>
              <w:spacing w:before="0" w:after="200"/>
              <w:jc w:val="start"/>
              <w:rPr>
                <w:color w:val="800080"/>
                <w:highlight w:val="none"/>
                <w:shd w:fill="77BC65" w:val="clear"/>
              </w:rPr>
            </w:pPr>
            <w:r>
              <w:rPr>
                <w:color w:val="800080"/>
                <w:shd w:fill="77BC65" w:val="clear"/>
              </w:rPr>
              <w:t>X</w:t>
            </w:r>
          </w:p>
        </w:tc>
        <w:tc>
          <w:tcPr>
            <w:tcW w:w="360" w:type="dxa"/>
            <w:tcBorders/>
          </w:tcPr>
          <w:p>
            <w:pPr>
              <w:pStyle w:val="Normal"/>
              <w:spacing w:before="0" w:after="200"/>
              <w:jc w:val="start"/>
              <w:rPr>
                <w:color w:val="C9211E"/>
                <w:highlight w:val="none"/>
                <w:shd w:fill="B4C7DC" w:val="clear"/>
              </w:rPr>
            </w:pPr>
            <w:r>
              <w:rPr>
                <w:color w:val="C9211E"/>
                <w:shd w:fill="B4C7DC" w:val="clear"/>
              </w:rPr>
            </w:r>
          </w:p>
        </w:tc>
        <w:tc>
          <w:tcPr>
            <w:tcW w:w="450" w:type="dxa"/>
            <w:tcBorders/>
          </w:tcPr>
          <w:p>
            <w:pPr>
              <w:pStyle w:val="Normal"/>
              <w:spacing w:before="0" w:after="200"/>
              <w:jc w:val="start"/>
              <w:rPr/>
            </w:pPr>
            <w:r>
              <w:rPr/>
            </w:r>
          </w:p>
        </w:tc>
        <w:tc>
          <w:tcPr>
            <w:tcW w:w="5925" w:type="dxa"/>
            <w:tcBorders/>
          </w:tcPr>
          <w:p>
            <w:pPr>
              <w:pStyle w:val="Normal"/>
              <w:widowControl/>
              <w:bidi w:val="0"/>
              <w:spacing w:lineRule="auto" w:line="276" w:before="0" w:after="200"/>
              <w:jc w:val="start"/>
              <w:rPr/>
            </w:pPr>
            <w:r>
              <w:rPr/>
              <w:t>Complete. 3-phase game (Flash/Imagine/Reflect). Uses Bertrand's difficulty labels: Kinesthetic Awakening, Applied Practice, Flow State. Bertrand saw the demo during walkthrough.</w:t>
            </w:r>
          </w:p>
        </w:tc>
      </w:tr>
      <w:tr>
        <w:trPr>
          <w:cantSplit w:val="true"/>
        </w:trPr>
        <w:tc>
          <w:tcPr>
            <w:tcW w:w="1815" w:type="dxa"/>
            <w:tcBorders/>
          </w:tcPr>
          <w:p>
            <w:pPr>
              <w:pStyle w:val="Normal"/>
              <w:widowControl/>
              <w:bidi w:val="0"/>
              <w:spacing w:lineRule="auto" w:line="276" w:before="0" w:after="200"/>
              <w:jc w:val="start"/>
              <w:rPr/>
            </w:pPr>
            <w:r>
              <w:rPr/>
              <w:t>7. StudioPage (business/pricing)</w:t>
            </w:r>
          </w:p>
        </w:tc>
        <w:tc>
          <w:tcPr>
            <w:tcW w:w="360" w:type="dxa"/>
            <w:tcBorders/>
          </w:tcPr>
          <w:p>
            <w:pPr>
              <w:pStyle w:val="Normal"/>
              <w:spacing w:before="0" w:after="200"/>
              <w:jc w:val="start"/>
              <w:rPr/>
            </w:pPr>
            <w:r>
              <w:rPr/>
            </w:r>
          </w:p>
        </w:tc>
        <w:tc>
          <w:tcPr>
            <w:tcW w:w="450" w:type="dxa"/>
            <w:tcBorders/>
          </w:tcPr>
          <w:p>
            <w:pPr>
              <w:pStyle w:val="Normal"/>
              <w:spacing w:before="0" w:after="200"/>
              <w:jc w:val="start"/>
              <w:rPr>
                <w:color w:val="800080"/>
                <w:highlight w:val="none"/>
                <w:shd w:fill="77BC65" w:val="clear"/>
              </w:rPr>
            </w:pPr>
            <w:r>
              <w:rPr>
                <w:color w:val="800080"/>
                <w:shd w:fill="77BC65" w:val="clear"/>
              </w:rPr>
              <w:t>X</w:t>
            </w:r>
          </w:p>
        </w:tc>
        <w:tc>
          <w:tcPr>
            <w:tcW w:w="360" w:type="dxa"/>
            <w:tcBorders/>
          </w:tcPr>
          <w:p>
            <w:pPr>
              <w:pStyle w:val="Normal"/>
              <w:spacing w:before="0" w:after="200"/>
              <w:jc w:val="start"/>
              <w:rPr>
                <w:color w:val="C9211E"/>
                <w:highlight w:val="none"/>
                <w:shd w:fill="B4C7DC" w:val="clear"/>
              </w:rPr>
            </w:pPr>
            <w:r>
              <w:rPr>
                <w:color w:val="C9211E"/>
                <w:shd w:fill="B4C7DC" w:val="clear"/>
              </w:rPr>
            </w:r>
          </w:p>
        </w:tc>
        <w:tc>
          <w:tcPr>
            <w:tcW w:w="450" w:type="dxa"/>
            <w:tcBorders/>
          </w:tcPr>
          <w:p>
            <w:pPr>
              <w:pStyle w:val="Normal"/>
              <w:spacing w:before="0" w:after="200"/>
              <w:jc w:val="start"/>
              <w:rPr/>
            </w:pPr>
            <w:r>
              <w:rPr/>
            </w:r>
          </w:p>
        </w:tc>
        <w:tc>
          <w:tcPr>
            <w:tcW w:w="5925" w:type="dxa"/>
            <w:tcBorders/>
          </w:tcPr>
          <w:p>
            <w:pPr>
              <w:pStyle w:val="Normal"/>
              <w:widowControl/>
              <w:bidi w:val="0"/>
              <w:spacing w:lineRule="auto" w:line="276" w:before="0" w:after="200"/>
              <w:jc w:val="start"/>
              <w:rPr/>
            </w:pPr>
            <w:r>
              <w:rPr/>
              <w:t>Complete. 6 services, 13 testimonials, payment grid. Discussed async video pricing with Bertrand: $45/review for 15-min structured sessions, $5 text-back for quick responses.</w:t>
            </w:r>
          </w:p>
        </w:tc>
      </w:tr>
      <w:tr>
        <w:trPr>
          <w:cantSplit w:val="true"/>
        </w:trPr>
        <w:tc>
          <w:tcPr>
            <w:tcW w:w="1815" w:type="dxa"/>
            <w:tcBorders/>
          </w:tcPr>
          <w:p>
            <w:pPr>
              <w:pStyle w:val="Normal"/>
              <w:widowControl/>
              <w:bidi w:val="0"/>
              <w:spacing w:lineRule="auto" w:line="276" w:before="0" w:after="200"/>
              <w:jc w:val="start"/>
              <w:rPr/>
            </w:pPr>
            <w:r>
              <w:rPr/>
              <w:t>8. Local AI Coaching System</w:t>
            </w:r>
          </w:p>
        </w:tc>
        <w:tc>
          <w:tcPr>
            <w:tcW w:w="360" w:type="dxa"/>
            <w:tcBorders/>
          </w:tcPr>
          <w:p>
            <w:pPr>
              <w:pStyle w:val="Normal"/>
              <w:spacing w:before="0" w:after="200"/>
              <w:jc w:val="start"/>
              <w:rPr/>
            </w:pPr>
            <w:r>
              <w:rPr/>
            </w:r>
          </w:p>
        </w:tc>
        <w:tc>
          <w:tcPr>
            <w:tcW w:w="450" w:type="dxa"/>
            <w:tcBorders/>
          </w:tcPr>
          <w:p>
            <w:pPr>
              <w:pStyle w:val="Normal"/>
              <w:spacing w:before="0" w:after="200"/>
              <w:jc w:val="start"/>
              <w:rPr>
                <w:color w:val="800080"/>
                <w:highlight w:val="none"/>
                <w:shd w:fill="77BC65" w:val="clear"/>
              </w:rPr>
            </w:pPr>
            <w:r>
              <w:rPr>
                <w:color w:val="800080"/>
                <w:shd w:fill="77BC65" w:val="clear"/>
              </w:rPr>
              <w:t>X</w:t>
            </w:r>
          </w:p>
        </w:tc>
        <w:tc>
          <w:tcPr>
            <w:tcW w:w="360" w:type="dxa"/>
            <w:tcBorders/>
          </w:tcPr>
          <w:p>
            <w:pPr>
              <w:pStyle w:val="Normal"/>
              <w:spacing w:before="0" w:after="200"/>
              <w:jc w:val="start"/>
              <w:rPr>
                <w:color w:val="C9211E"/>
                <w:highlight w:val="none"/>
                <w:shd w:fill="B4C7DC" w:val="clear"/>
              </w:rPr>
            </w:pPr>
            <w:r>
              <w:rPr>
                <w:color w:val="C9211E"/>
                <w:shd w:fill="B4C7DC" w:val="clear"/>
              </w:rPr>
            </w:r>
          </w:p>
        </w:tc>
        <w:tc>
          <w:tcPr>
            <w:tcW w:w="450" w:type="dxa"/>
            <w:tcBorders/>
          </w:tcPr>
          <w:p>
            <w:pPr>
              <w:pStyle w:val="Normal"/>
              <w:spacing w:before="0" w:after="200"/>
              <w:jc w:val="start"/>
              <w:rPr/>
            </w:pPr>
            <w:r>
              <w:rPr/>
            </w:r>
          </w:p>
        </w:tc>
        <w:tc>
          <w:tcPr>
            <w:tcW w:w="5925" w:type="dxa"/>
            <w:tcBorders/>
          </w:tcPr>
          <w:p>
            <w:pPr>
              <w:pStyle w:val="Normal"/>
              <w:widowControl/>
              <w:bidi w:val="0"/>
              <w:spacing w:lineRule="auto" w:line="276" w:before="0" w:after="200"/>
              <w:jc w:val="start"/>
              <w:rPr/>
            </w:pPr>
            <w:r>
              <w:rPr/>
              <w:t>Complete. useTroubadourAI hook with fallback chain. 33B conversational AI model downloaded for voice interaction. Bertrand saw the Troubadour widget with AI chat, metronome, ambient music.</w:t>
            </w:r>
          </w:p>
        </w:tc>
      </w:tr>
      <w:tr>
        <w:trPr>
          <w:cantSplit w:val="true"/>
        </w:trPr>
        <w:tc>
          <w:tcPr>
            <w:tcW w:w="1815" w:type="dxa"/>
            <w:tcBorders/>
          </w:tcPr>
          <w:p>
            <w:pPr>
              <w:pStyle w:val="Normal"/>
              <w:widowControl/>
              <w:bidi w:val="0"/>
              <w:spacing w:lineRule="auto" w:line="276" w:before="0" w:after="200"/>
              <w:jc w:val="start"/>
              <w:rPr/>
            </w:pPr>
            <w:r>
              <w:rPr/>
              <w:t>9. Identity &amp; Progression System</w:t>
            </w:r>
          </w:p>
        </w:tc>
        <w:tc>
          <w:tcPr>
            <w:tcW w:w="360" w:type="dxa"/>
            <w:tcBorders/>
          </w:tcPr>
          <w:p>
            <w:pPr>
              <w:pStyle w:val="Normal"/>
              <w:spacing w:before="0" w:after="200"/>
              <w:jc w:val="start"/>
              <w:rPr/>
            </w:pPr>
            <w:r>
              <w:rPr/>
            </w:r>
          </w:p>
        </w:tc>
        <w:tc>
          <w:tcPr>
            <w:tcW w:w="450" w:type="dxa"/>
            <w:tcBorders/>
          </w:tcPr>
          <w:p>
            <w:pPr>
              <w:pStyle w:val="Normal"/>
              <w:spacing w:before="0" w:after="200"/>
              <w:jc w:val="start"/>
              <w:rPr>
                <w:color w:val="800080"/>
                <w:highlight w:val="none"/>
                <w:shd w:fill="77BC65" w:val="clear"/>
              </w:rPr>
            </w:pPr>
            <w:r>
              <w:rPr>
                <w:color w:val="800080"/>
                <w:shd w:fill="77BC65" w:val="clear"/>
              </w:rPr>
              <w:t>X</w:t>
            </w:r>
          </w:p>
        </w:tc>
        <w:tc>
          <w:tcPr>
            <w:tcW w:w="360" w:type="dxa"/>
            <w:tcBorders/>
          </w:tcPr>
          <w:p>
            <w:pPr>
              <w:pStyle w:val="Normal"/>
              <w:spacing w:before="0" w:after="200"/>
              <w:jc w:val="start"/>
              <w:rPr>
                <w:color w:val="C9211E"/>
                <w:highlight w:val="none"/>
                <w:shd w:fill="B4C7DC" w:val="clear"/>
              </w:rPr>
            </w:pPr>
            <w:r>
              <w:rPr>
                <w:color w:val="C9211E"/>
                <w:shd w:fill="B4C7DC" w:val="clear"/>
              </w:rPr>
            </w:r>
          </w:p>
        </w:tc>
        <w:tc>
          <w:tcPr>
            <w:tcW w:w="450" w:type="dxa"/>
            <w:tcBorders/>
          </w:tcPr>
          <w:p>
            <w:pPr>
              <w:pStyle w:val="Normal"/>
              <w:spacing w:before="0" w:after="200"/>
              <w:jc w:val="start"/>
              <w:rPr/>
            </w:pPr>
            <w:r>
              <w:rPr/>
            </w:r>
          </w:p>
        </w:tc>
        <w:tc>
          <w:tcPr>
            <w:tcW w:w="5925" w:type="dxa"/>
            <w:tcBorders/>
          </w:tcPr>
          <w:p>
            <w:pPr>
              <w:pStyle w:val="Normal"/>
              <w:widowControl/>
              <w:bidi w:val="0"/>
              <w:spacing w:lineRule="auto" w:line="276" w:before="0" w:after="200"/>
              <w:jc w:val="start"/>
              <w:rPr/>
            </w:pPr>
            <w:r>
              <w:rPr/>
              <w:t>Complete. 12 Bardic Titles, CapstoneCard certification, BEWorkbook, PracticeJournal. Bertrand reviewed the "Playbook" and quest log with DAG-based progression.</w:t>
            </w:r>
          </w:p>
        </w:tc>
      </w:tr>
      <w:tr>
        <w:trPr>
          <w:cantSplit w:val="true"/>
        </w:trPr>
        <w:tc>
          <w:tcPr>
            <w:tcW w:w="1815" w:type="dxa"/>
            <w:tcBorders/>
          </w:tcPr>
          <w:p>
            <w:pPr>
              <w:pStyle w:val="Normal"/>
              <w:widowControl/>
              <w:bidi w:val="0"/>
              <w:spacing w:lineRule="auto" w:line="276" w:before="0" w:after="200"/>
              <w:jc w:val="start"/>
              <w:rPr/>
            </w:pPr>
            <w:r>
              <w:rPr/>
              <w:t>10. Production Deployment</w:t>
            </w:r>
          </w:p>
        </w:tc>
        <w:tc>
          <w:tcPr>
            <w:tcW w:w="360" w:type="dxa"/>
            <w:tcBorders/>
          </w:tcPr>
          <w:p>
            <w:pPr>
              <w:pStyle w:val="Normal"/>
              <w:spacing w:before="0" w:after="200"/>
              <w:jc w:val="start"/>
              <w:rPr/>
            </w:pPr>
            <w:r>
              <w:rPr/>
            </w:r>
          </w:p>
        </w:tc>
        <w:tc>
          <w:tcPr>
            <w:tcW w:w="450" w:type="dxa"/>
            <w:tcBorders/>
          </w:tcPr>
          <w:p>
            <w:pPr>
              <w:pStyle w:val="Normal"/>
              <w:spacing w:before="0" w:after="200"/>
              <w:jc w:val="start"/>
              <w:rPr>
                <w:color w:val="800080"/>
                <w:highlight w:val="none"/>
                <w:shd w:fill="77BC65" w:val="clear"/>
              </w:rPr>
            </w:pPr>
            <w:r>
              <w:rPr>
                <w:color w:val="800080"/>
                <w:shd w:fill="77BC65" w:val="clear"/>
              </w:rPr>
              <w:t>X</w:t>
            </w:r>
          </w:p>
        </w:tc>
        <w:tc>
          <w:tcPr>
            <w:tcW w:w="360" w:type="dxa"/>
            <w:tcBorders/>
          </w:tcPr>
          <w:p>
            <w:pPr>
              <w:pStyle w:val="Normal"/>
              <w:spacing w:before="0" w:after="200"/>
              <w:jc w:val="start"/>
              <w:rPr>
                <w:color w:val="C9211E"/>
                <w:highlight w:val="none"/>
                <w:shd w:fill="B4C7DC" w:val="clear"/>
              </w:rPr>
            </w:pPr>
            <w:r>
              <w:rPr>
                <w:color w:val="C9211E"/>
                <w:shd w:fill="B4C7DC" w:val="clear"/>
              </w:rPr>
            </w:r>
          </w:p>
        </w:tc>
        <w:tc>
          <w:tcPr>
            <w:tcW w:w="450" w:type="dxa"/>
            <w:tcBorders/>
          </w:tcPr>
          <w:p>
            <w:pPr>
              <w:pStyle w:val="Normal"/>
              <w:spacing w:before="0" w:after="200"/>
              <w:jc w:val="start"/>
              <w:rPr/>
            </w:pPr>
            <w:r>
              <w:rPr/>
            </w:r>
          </w:p>
        </w:tc>
        <w:tc>
          <w:tcPr>
            <w:tcW w:w="5925" w:type="dxa"/>
            <w:tcBorders/>
          </w:tcPr>
          <w:p>
            <w:pPr>
              <w:pStyle w:val="Normal"/>
              <w:widowControl/>
              <w:bidi w:val="0"/>
              <w:spacing w:lineRule="auto" w:line="276" w:before="0" w:after="200"/>
              <w:jc w:val="start"/>
              <w:rPr/>
            </w:pPr>
            <w:r>
              <w:rPr/>
              <w:t>Complete. Live at www.voix-vive.com via Vercel. Google OAuth working. 46/46 tests passing, zero build errors.</w:t>
            </w:r>
          </w:p>
        </w:tc>
      </w:tr>
      <w:tr>
        <w:trPr>
          <w:cantSplit w:val="true"/>
        </w:trPr>
        <w:tc>
          <w:tcPr>
            <w:tcW w:w="1815" w:type="dxa"/>
            <w:tcBorders/>
          </w:tcPr>
          <w:p>
            <w:pPr>
              <w:pStyle w:val="Normal"/>
              <w:widowControl/>
              <w:bidi w:val="0"/>
              <w:spacing w:lineRule="auto" w:line="276" w:before="0" w:after="200"/>
              <w:jc w:val="start"/>
              <w:rPr/>
            </w:pPr>
            <w:r>
              <w:rPr/>
              <w:t>11. Supabase Cloud Persistence</w:t>
            </w:r>
          </w:p>
        </w:tc>
        <w:tc>
          <w:tcPr>
            <w:tcW w:w="360" w:type="dxa"/>
            <w:tcBorders/>
          </w:tcPr>
          <w:p>
            <w:pPr>
              <w:pStyle w:val="Normal"/>
              <w:spacing w:before="0" w:after="200"/>
              <w:jc w:val="start"/>
              <w:rPr/>
            </w:pPr>
            <w:r>
              <w:rPr/>
            </w:r>
          </w:p>
        </w:tc>
        <w:tc>
          <w:tcPr>
            <w:tcW w:w="450" w:type="dxa"/>
            <w:tcBorders/>
          </w:tcPr>
          <w:p>
            <w:r>
              <w:t>X</w:t>
            </w:r>
          </w:p>
        </w:tc>
        <w:tc>
          <w:tcPr>
            <w:tcW w:w="360" w:type="dxa"/>
            <w:tcBorders/>
          </w:tcPr>
          <w:p>
            <w:r/>
          </w:p>
        </w:tc>
        <w:tc>
          <w:tcPr>
            <w:tcW w:w="450" w:type="dxa"/>
            <w:tcBorders/>
          </w:tcPr>
          <w:p>
            <w:pPr>
              <w:pStyle w:val="Normal"/>
              <w:spacing w:before="0" w:after="200"/>
              <w:jc w:val="start"/>
              <w:rPr/>
            </w:pPr>
            <w:r>
              <w:rPr/>
            </w:r>
          </w:p>
        </w:tc>
        <w:tc>
          <w:tcPr>
            <w:tcW w:w="5925" w:type="dxa"/>
            <w:tcBorders/>
          </w:tcPr>
          <w:p>
            <w:r>
              <w:t>On Target: Dexie DB syncing with Supabase. Drive service integrated for video storage.</w:t>
            </w:r>
          </w:p>
        </w:tc>
      </w:tr>
      <w:tr>
        <w:trPr>
          <w:cantSplit w:val="true"/>
        </w:trPr>
        <w:tc>
          <w:tcPr>
            <w:tcW w:w="1815" w:type="dxa"/>
            <w:tcBorders/>
          </w:tcPr>
          <w:p>
            <w:pPr>
              <w:pStyle w:val="Normal"/>
              <w:widowControl/>
              <w:bidi w:val="0"/>
              <w:spacing w:lineRule="auto" w:line="276" w:before="0" w:after="200"/>
              <w:jc w:val="start"/>
              <w:rPr/>
            </w:pPr>
            <w:r>
              <w:rPr/>
              <w:t>12. PracticeRecorder &amp; Mentor Dashboard</w:t>
            </w:r>
          </w:p>
        </w:tc>
        <w:tc>
          <w:tcPr>
            <w:tcW w:w="360" w:type="dxa"/>
            <w:tcBorders/>
          </w:tcPr>
          <w:p>
            <w:pPr>
              <w:pStyle w:val="Normal"/>
              <w:spacing w:before="0" w:after="200"/>
              <w:jc w:val="start"/>
              <w:rPr/>
            </w:pPr>
            <w:r>
              <w:rPr/>
            </w:r>
          </w:p>
        </w:tc>
        <w:tc>
          <w:tcPr>
            <w:tcW w:w="450" w:type="dxa"/>
            <w:tcBorders/>
          </w:tcPr>
          <w:p>
            <w:r>
              <w:t>X</w:t>
            </w:r>
          </w:p>
        </w:tc>
        <w:tc>
          <w:tcPr>
            <w:tcW w:w="360" w:type="dxa"/>
            <w:tcBorders/>
          </w:tcPr>
          <w:p>
            <w:r/>
          </w:p>
        </w:tc>
        <w:tc>
          <w:tcPr>
            <w:tcW w:w="450" w:type="dxa"/>
            <w:tcBorders/>
          </w:tcPr>
          <w:p>
            <w:pPr>
              <w:pStyle w:val="Normal"/>
              <w:spacing w:before="0" w:after="200"/>
              <w:jc w:val="start"/>
              <w:rPr/>
            </w:pPr>
            <w:r>
              <w:rPr/>
            </w:r>
          </w:p>
        </w:tc>
        <w:tc>
          <w:tcPr>
            <w:tcW w:w="5925" w:type="dxa"/>
            <w:tcBorders/>
          </w:tcPr>
          <w:p>
            <w:r>
              <w:t>On Target: MentorDashboard deployed. Drive/Calendar scheduling services operational.</w:t>
            </w:r>
          </w:p>
        </w:tc>
      </w:tr>
      <w:tr>
        <w:trPr>
          <w:cantSplit w:val="true"/>
        </w:trPr>
        <w:tc>
          <w:tcPr>
            <w:tcW w:w="1815" w:type="dxa"/>
            <w:tcBorders/>
          </w:tcPr>
          <w:p>
            <w:pPr>
              <w:pStyle w:val="Normal"/>
              <w:widowControl/>
              <w:bidi w:val="0"/>
              <w:spacing w:lineRule="auto" w:line="276" w:before="0" w:after="200"/>
              <w:jc w:val="start"/>
              <w:rPr/>
            </w:pPr>
            <w:r>
              <w:rPr/>
              <w:t>13. SME Review #1</w:t>
            </w:r>
          </w:p>
        </w:tc>
        <w:tc>
          <w:tcPr>
            <w:tcW w:w="360" w:type="dxa"/>
            <w:tcBorders/>
          </w:tcPr>
          <w:p>
            <w:pPr>
              <w:pStyle w:val="Normal"/>
              <w:spacing w:before="0" w:after="200"/>
              <w:jc w:val="start"/>
              <w:rPr/>
            </w:pPr>
            <w:r>
              <w:rPr/>
            </w:r>
          </w:p>
        </w:tc>
        <w:tc>
          <w:tcPr>
            <w:tcW w:w="450" w:type="dxa"/>
            <w:tcBorders/>
          </w:tcPr>
          <w:p>
            <w:pPr>
              <w:pStyle w:val="Normal"/>
              <w:spacing w:before="0" w:after="200"/>
              <w:jc w:val="start"/>
              <w:rPr>
                <w:color w:val="800080"/>
                <w:highlight w:val="none"/>
                <w:shd w:fill="77BC65" w:val="clear"/>
              </w:rPr>
            </w:pPr>
            <w:r>
              <w:rPr>
                <w:color w:val="800080"/>
                <w:shd w:fill="77BC65" w:val="clear"/>
              </w:rPr>
              <w:t>X</w:t>
            </w:r>
          </w:p>
        </w:tc>
        <w:tc>
          <w:tcPr>
            <w:tcW w:w="360" w:type="dxa"/>
            <w:tcBorders/>
          </w:tcPr>
          <w:p>
            <w:pPr>
              <w:pStyle w:val="Normal"/>
              <w:spacing w:before="0" w:after="200"/>
              <w:jc w:val="start"/>
              <w:rPr>
                <w:color w:val="C9211E"/>
                <w:highlight w:val="none"/>
                <w:shd w:fill="B4C7DC" w:val="clear"/>
              </w:rPr>
            </w:pPr>
            <w:r>
              <w:rPr>
                <w:color w:val="C9211E"/>
                <w:shd w:fill="B4C7DC" w:val="clear"/>
              </w:rPr>
            </w:r>
          </w:p>
        </w:tc>
        <w:tc>
          <w:tcPr>
            <w:tcW w:w="450" w:type="dxa"/>
            <w:tcBorders/>
          </w:tcPr>
          <w:p>
            <w:pPr>
              <w:pStyle w:val="Normal"/>
              <w:spacing w:before="0" w:after="200"/>
              <w:jc w:val="start"/>
              <w:rPr/>
            </w:pPr>
            <w:r>
              <w:rPr/>
            </w:r>
          </w:p>
        </w:tc>
        <w:tc>
          <w:tcPr>
            <w:tcW w:w="5925" w:type="dxa"/>
            <w:tcBorders/>
          </w:tcPr>
          <w:p>
            <w:pPr>
              <w:pStyle w:val="Normal"/>
              <w:widowControl/>
              <w:bidi w:val="0"/>
              <w:spacing w:lineRule="auto" w:line="276" w:before="0" w:after="200"/>
              <w:jc w:val="start"/>
              <w:rPr/>
            </w:pPr>
            <w:r>
              <w:rPr/>
              <w:t>Complete (May 27). 90-min session, recorded &amp; transcribed. Bertrand walked through all portals (Song, Guitar, Player, Playbook), confirmed pedagogical alignment. Discussed video production plan &amp; YouTube marketing.</w:t>
            </w:r>
          </w:p>
        </w:tc>
      </w:tr>
      <w:tr>
        <w:trPr>
          <w:cantSplit w:val="true"/>
        </w:trPr>
        <w:tc>
          <w:tcPr>
            <w:tcW w:w="1815" w:type="dxa"/>
            <w:tcBorders/>
          </w:tcPr>
          <w:p>
            <w:pPr>
              <w:pStyle w:val="Normal"/>
              <w:widowControl/>
              <w:bidi w:val="0"/>
              <w:spacing w:lineRule="auto" w:line="276" w:before="0" w:after="200"/>
              <w:jc w:val="start"/>
              <w:rPr/>
            </w:pPr>
            <w:r>
              <w:rPr/>
              <w:t>14. Pilot with Learners</w:t>
            </w:r>
          </w:p>
        </w:tc>
        <w:tc>
          <w:tcPr>
            <w:tcW w:w="360" w:type="dxa"/>
            <w:tcBorders/>
          </w:tcPr>
          <w:p>
            <w:r/>
          </w:p>
        </w:tc>
        <w:tc>
          <w:tcPr>
            <w:tcW w:w="450" w:type="dxa"/>
            <w:tcBorders/>
          </w:tcPr>
          <w:p>
            <w:r>
              <w:t>X</w:t>
            </w:r>
          </w:p>
        </w:tc>
        <w:tc>
          <w:tcPr>
            <w:tcW w:w="360" w:type="dxa"/>
            <w:tcBorders/>
          </w:tcPr>
          <w:p>
            <w:pPr>
              <w:pStyle w:val="Normal"/>
              <w:spacing w:before="0" w:after="200"/>
              <w:jc w:val="start"/>
              <w:rPr>
                <w:color w:val="C9211E"/>
                <w:highlight w:val="none"/>
                <w:shd w:fill="B4C7DC" w:val="clear"/>
              </w:rPr>
            </w:pPr>
            <w:r>
              <w:rPr>
                <w:color w:val="C9211E"/>
                <w:shd w:fill="B4C7DC" w:val="clear"/>
              </w:rPr>
            </w:r>
          </w:p>
        </w:tc>
        <w:tc>
          <w:tcPr>
            <w:tcW w:w="450" w:type="dxa"/>
            <w:tcBorders/>
          </w:tcPr>
          <w:p>
            <w:pPr>
              <w:pStyle w:val="Normal"/>
              <w:spacing w:before="0" w:after="200"/>
              <w:jc w:val="start"/>
              <w:rPr/>
            </w:pPr>
            <w:r>
              <w:rPr/>
            </w:r>
          </w:p>
        </w:tc>
        <w:tc>
          <w:tcPr>
            <w:tcW w:w="5925" w:type="dxa"/>
            <w:tcBorders/>
          </w:tcPr>
          <w:p>
            <w:r>
              <w:t>On Target: Ready for rollout following massive technical deployment and E2E QA validation.</w:t>
            </w:r>
          </w:p>
        </w:tc>
      </w:tr>
      <w:tr>
        <w:trPr>
          <w:cantSplit w:val="true"/>
        </w:trPr>
        <w:tc>
          <w:tcPr>
            <w:tcW w:w="1815" w:type="dxa"/>
            <w:tcBorders/>
          </w:tcPr>
          <w:p>
            <w:pPr>
              <w:pStyle w:val="Normal"/>
              <w:widowControl/>
              <w:bidi w:val="0"/>
              <w:spacing w:lineRule="auto" w:line="276" w:before="0" w:after="200"/>
              <w:jc w:val="start"/>
              <w:rPr/>
            </w:pPr>
            <w:r>
              <w:rPr/>
              <w:t>15. Final Report</w:t>
            </w:r>
          </w:p>
        </w:tc>
        <w:tc>
          <w:tcPr>
            <w:tcW w:w="360" w:type="dxa"/>
            <w:tcBorders/>
          </w:tcPr>
          <w:p>
            <w:pPr>
              <w:pStyle w:val="Normal"/>
              <w:spacing w:before="0" w:after="200"/>
              <w:jc w:val="start"/>
              <w:rPr/>
            </w:pPr>
            <w:r>
              <w:rPr/>
              <w:t>X</w:t>
            </w:r>
          </w:p>
        </w:tc>
        <w:tc>
          <w:tcPr>
            <w:tcW w:w="450" w:type="dxa"/>
            <w:tcBorders/>
          </w:tcPr>
          <w:p>
            <w:pPr>
              <w:pStyle w:val="Normal"/>
              <w:spacing w:before="0" w:after="200"/>
              <w:jc w:val="start"/>
              <w:rPr>
                <w:color w:val="800080"/>
                <w:highlight w:val="none"/>
                <w:shd w:fill="77BC65" w:val="clear"/>
              </w:rPr>
            </w:pPr>
            <w:r>
              <w:rPr>
                <w:color w:val="800080"/>
                <w:shd w:fill="77BC65" w:val="clear"/>
              </w:rPr>
            </w:r>
          </w:p>
        </w:tc>
        <w:tc>
          <w:tcPr>
            <w:tcW w:w="360" w:type="dxa"/>
            <w:tcBorders/>
          </w:tcPr>
          <w:p>
            <w:pPr>
              <w:pStyle w:val="Normal"/>
              <w:spacing w:before="0" w:after="200"/>
              <w:jc w:val="start"/>
              <w:rPr>
                <w:color w:val="C9211E"/>
                <w:highlight w:val="none"/>
                <w:shd w:fill="B4C7DC" w:val="clear"/>
              </w:rPr>
            </w:pPr>
            <w:r>
              <w:rPr>
                <w:color w:val="C9211E"/>
                <w:shd w:fill="B4C7DC" w:val="clear"/>
              </w:rPr>
            </w:r>
          </w:p>
        </w:tc>
        <w:tc>
          <w:tcPr>
            <w:tcW w:w="450" w:type="dxa"/>
            <w:tcBorders/>
          </w:tcPr>
          <w:p>
            <w:pPr>
              <w:pStyle w:val="Normal"/>
              <w:spacing w:before="0" w:after="200"/>
              <w:jc w:val="start"/>
              <w:rPr/>
            </w:pPr>
            <w:r>
              <w:rPr/>
            </w:r>
          </w:p>
        </w:tc>
        <w:tc>
          <w:tcPr>
            <w:tcW w:w="5925" w:type="dxa"/>
            <w:tcBorders/>
          </w:tcPr>
          <w:p>
            <w:pPr>
              <w:pStyle w:val="Normal"/>
              <w:widowControl/>
              <w:bidi w:val="0"/>
              <w:spacing w:lineRule="auto" w:line="276" w:before="0" w:after="200"/>
              <w:jc w:val="start"/>
              <w:rPr/>
            </w:pPr>
            <w:r>
              <w:rPr/>
              <w:t>Not Started — due Week 8.</w:t>
            </w:r>
          </w:p>
        </w:tc>
      </w:tr>
    </w:tbl>
    <w:p>
      <w:pPr>
        <w:pStyle w:val="Normal"/>
        <w:rPr/>
      </w:pPr>
      <w:r/>
    </w:p>
    <w:p>
      <w:pPr>
        <w:pStyle w:val="Normal"/>
        <w:rPr/>
      </w:pPr>
      <w:r/>
    </w:p>
    <w:p>
      <w:pPr>
        <w:pStyle w:val="Normal"/>
        <w:rPr>
          <w:b/>
        </w:rPr>
      </w:pPr>
      <w:r/>
    </w:p>
    <w:p>
      <w:pPr>
        <w:pStyle w:val="Normal"/>
        <w:rPr/>
      </w:pPr>
      <w:r/>
    </w:p>
    <w:p>
      <w:pPr>
        <w:pStyle w:val="Normal"/>
        <w:rPr/>
      </w:pPr>
      <w:r/>
    </w:p>
    <w:p>
      <w:pPr>
        <w:pStyle w:val="Normal"/>
        <w:rPr/>
      </w:pPr>
      <w:r/>
    </w:p>
    <w:p>
      <w:pPr>
        <w:pStyle w:val="Normal"/>
        <w:rPr/>
      </w:pPr>
      <w:r/>
    </w:p>
    <w:p>
      <w:pPr>
        <w:pStyle w:val="Normal"/>
        <w:rPr/>
      </w:pPr>
      <w:r/>
    </w:p>
    <w:p>
      <w:pPr>
        <w:pStyle w:val="Normal"/>
        <w:rPr/>
      </w:pPr>
      <w:r/>
    </w:p>
    <w:p>
      <w:pPr>
        <w:pStyle w:val="Normal"/>
        <w:rPr/>
      </w:pPr>
      <w:r/>
    </w:p>
    <w:p>
      <w:pPr>
        <w:pStyle w:val="Normal"/>
        <w:rPr/>
      </w:pPr>
      <w:r>
        <w:rPr/>
      </w:r>
    </w:p>
    <w:p>
      <w:pPr>
        <w:pStyle w:val="Normal"/>
        <w:rPr/>
      </w:pPr>
      <w:r>
        <w:rPr>
          <w:b/>
        </w:rPr>
        <w:t>What challenges were confronted and in what ways were they addressed?</w:t>
      </w:r>
    </w:p>
    <w:p>
      <w:pPr>
        <w:pStyle w:val="Normal"/>
        <w:rPr/>
      </w:pPr>
      <w:r>
        <w:t>Three significant technical challenges emerged:</w:t>
        <w:br/>
        <w:br/>
        <w:t>1. Local AI Performance: Running a 33B parameter conversational AI and Text-to-Speech (Kokoro) directly in the browser required careful WebWorker management and bundle optimization to prevent UI blocking during student interaction.</w:t>
        <w:br/>
        <w:t>2. Google OAuth &amp; Video Storage: Resolving the `drive.file` scope issue required decoupling the authentication flow so the Practice Recorder can now securely upload large student practice videos directly to the mentor's Google Drive without compromising the app's basic login state.</w:t>
        <w:br/>
        <w:t>3. E2E Testing Conflicts: The automated Playwright tests initially conflicted with the Vite development server's hot-module-reloading scripts. I addressed this by configuring the testing pipeline to target a production-preview build, ensuring we test the exact Progressive Web App (PWA) environment the students will experience.</w:t>
      </w:r>
    </w:p>
    <w:p>
      <w:pPr>
        <w:pStyle w:val="Normal"/>
        <w:rPr/>
      </w:pPr>
      <w:r/>
    </w:p>
    <w:p>
      <w:pPr>
        <w:pStyle w:val="Normal"/>
        <w:rPr/>
      </w:pPr>
      <w:r/>
    </w:p>
    <w:p>
      <w:pPr>
        <w:pStyle w:val="Normal"/>
        <w:rPr/>
      </w:pPr>
      <w:r/>
    </w:p>
    <w:p>
      <w:pPr>
        <w:pStyle w:val="Normal"/>
        <w:rPr/>
      </w:pPr>
      <w:r>
        <w:rPr/>
      </w:r>
    </w:p>
    <w:p>
      <w:pPr>
        <w:pStyle w:val="Normal"/>
        <w:rPr/>
      </w:pPr>
      <w:r>
        <w:rPr>
          <w:b/>
        </w:rPr>
        <w:t>What was learned from this week's work on the project?</w:t>
      </w:r>
    </w:p>
    <w:p>
      <w:pPr>
        <w:pStyle w:val="Normal"/>
        <w:rPr/>
      </w:pPr>
      <w:r>
        <w:t xml:space="preserve">I learned that an ambitious local-first architecture (IndexedDB + in-browser AI + WebXR) is incredibly powerful for educational technology because it guarantees privacy and offline capability, but it requires highly complex state management. Combining a Rust backend (spatial engine) with a React frontend via IPC provided the necessary performance for real-time somatic feedback, validating our high-tech approach to music pedagogy. </w:t>
        <w:br/>
        <w:br/>
        <w:t>Furthermore, implementing automated E2E testing at this stage was vital. When a project scales this massively in a single week, having a "robot student" automatically navigate the curriculum proves that the core instructional design (the BE → DO → PLAY loop) remains structurally intact beneath the complex engineering.</w:t>
      </w:r>
    </w:p>
    <w:p>
      <w:pPr>
        <w:pStyle w:val="Normal"/>
        <w:rPr/>
      </w:pPr>
      <w:r/>
    </w:p>
    <w:p>
      <w:pPr>
        <w:pStyle w:val="Normal"/>
        <w:rPr/>
      </w:pPr>
      <w:r/>
    </w:p>
    <w:p>
      <w:pPr>
        <w:pStyle w:val="Normal"/>
        <w:rPr/>
      </w:pPr>
      <w:r>
        <w:rPr>
          <w:b/>
        </w:rPr>
        <w:t>Are the goals of the organization being met by my efforts? Are my goals being met by this project?</w:t>
      </w:r>
    </w:p>
    <w:p>
      <w:pPr>
        <w:pStyle w:val="Normal"/>
        <w:rPr/>
      </w:pPr>
      <w:r>
        <w:t>Organization goals: Yes. The platform is now a fully functional business product capable of capturing payments (Stripe), scheduling (Google Calendar), delivering 3D/AI-driven curriculum, and facilitating asynchronous video reviews. This completely fulfills Bertrand's goal of a scalable, digital hybrid studio.</w:t>
        <w:br/>
        <w:br/>
        <w:t>My goals: Yes. This phase of the practicum pushed my limits in full-stack software engineering, systems architecture (Rust + React), and automated QA. It provided profound practical experience in bridging visionary instructional design theory with the hard realities of deploying complex, AI-driven educational software to production.</w:t>
      </w:r>
    </w:p>
    <w:p>
      <w:pPr>
        <w:pStyle w:val="Normal"/>
        <w:rPr/>
      </w:pPr>
      <w:r/>
    </w:p>
    <w:p>
      <w:pPr>
        <w:pStyle w:val="Normal"/>
        <w:rPr/>
      </w:pPr>
      <w:r>
        <w:rPr/>
      </w:r>
    </w:p>
    <w:p>
      <w:pPr>
        <w:pStyle w:val="Normal"/>
        <w:rPr/>
      </w:pPr>
      <w:r>
        <w:rPr>
          <w:b/>
        </w:rPr>
        <w:t>What information and/or additional feedback is needed in order to successfully complete the next level of progress?</w:t>
      </w:r>
    </w:p>
    <w:p>
      <w:pPr>
        <w:pStyle w:val="Normal"/>
        <w:rPr/>
      </w:pPr>
      <w:r>
        <w:t>1. Execution of the pilot launch with the 2-3 selected students from Bertrand's roster.</w:t>
        <w:br/>
        <w:t>2. Close monitoring of real-world analytics and error logs (Firebase Crashlytics) to see how the heavy local AI models (Wllama/Kokoro) perform across diverse student hardware.</w:t>
        <w:br/>
        <w:t>3. Collection of qualitative UX feedback from the pilot users regarding the friction of the asynchronous coaching and video recording workflows.</w:t>
        <w:br/>
        <w:t>4. Finalizing the grading and rubric expectations for the upcoming Final Report.</w:t>
      </w:r>
    </w:p>
    <w:p>
      <w:pPr>
        <w:pStyle w:val="Normal"/>
        <w:rPr/>
      </w:pPr>
      <w:r/>
    </w:p>
    <w:p>
      <w:pPr>
        <w:pStyle w:val="Normal"/>
        <w:rPr/>
      </w:pPr>
      <w:r/>
    </w:p>
    <w:p>
      <w:pPr>
        <w:pStyle w:val="Normal"/>
        <w:rPr/>
      </w:pPr>
      <w:r/>
    </w:p>
    <w:p>
      <w:pPr>
        <w:pStyle w:val="Normal"/>
        <w:widowControl/>
        <w:bidi w:val="0"/>
        <w:spacing w:lineRule="auto" w:line="276" w:before="0" w:after="200"/>
        <w:jc w:val="start"/>
        <w:rPr/>
      </w:p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ucida Grande">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7472cb"/>
    <w:pPr>
      <w:widowControl/>
      <w:bidi w:val="0"/>
      <w:spacing w:lineRule="auto" w:line="276" w:before="0" w:after="20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8a0157"/>
    <w:rPr>
      <w:rFonts w:ascii="Lucida Grande" w:hAnsi="Lucida Grande" w:cs="Lucida Grande"/>
      <w:sz w:val="18"/>
      <w:szCs w:val="18"/>
    </w:rPr>
  </w:style>
  <w:style w:type="character" w:styleId="CommentReference">
    <w:name w:val="annotation reference"/>
    <w:basedOn w:val="DefaultParagraphFont"/>
    <w:uiPriority w:val="99"/>
    <w:semiHidden/>
    <w:unhideWhenUsed/>
    <w:qFormat/>
    <w:rsid w:val="008a0157"/>
    <w:rPr>
      <w:sz w:val="18"/>
      <w:szCs w:val="18"/>
    </w:rPr>
  </w:style>
  <w:style w:type="character" w:styleId="CommentTextChar" w:customStyle="1">
    <w:name w:val="Comment Text Char"/>
    <w:basedOn w:val="DefaultParagraphFont"/>
    <w:link w:val="CommentText"/>
    <w:uiPriority w:val="99"/>
    <w:semiHidden/>
    <w:qFormat/>
    <w:rsid w:val="008a0157"/>
    <w:rPr>
      <w:sz w:val="24"/>
      <w:szCs w:val="24"/>
    </w:rPr>
  </w:style>
  <w:style w:type="character" w:styleId="CommentSubjectChar" w:customStyle="1">
    <w:name w:val="Comment Subject Char"/>
    <w:basedOn w:val="CommentTextChar"/>
    <w:link w:val="annotationsubject"/>
    <w:uiPriority w:val="99"/>
    <w:semiHidden/>
    <w:qFormat/>
    <w:rsid w:val="008a0157"/>
    <w:rPr>
      <w:b/>
      <w:bCs/>
      <w:sz w:val="20"/>
      <w:szCs w:val="20"/>
    </w:rPr>
  </w:style>
  <w:style w:type="character" w:styleId="HeaderChar" w:customStyle="1">
    <w:name w:val="Header Char"/>
    <w:basedOn w:val="DefaultParagraphFont"/>
    <w:link w:val="Header"/>
    <w:uiPriority w:val="99"/>
    <w:qFormat/>
    <w:rsid w:val="0096617c"/>
    <w:rPr/>
  </w:style>
  <w:style w:type="character" w:styleId="FooterChar" w:customStyle="1">
    <w:name w:val="Footer Char"/>
    <w:basedOn w:val="DefaultParagraphFont"/>
    <w:link w:val="Footer"/>
    <w:uiPriority w:val="99"/>
    <w:qFormat/>
    <w:rsid w:val="0096617c"/>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d916b2"/>
    <w:pPr>
      <w:spacing w:before="0" w:after="200"/>
      <w:ind w:start="720"/>
      <w:contextualSpacing/>
    </w:pPr>
    <w:rPr/>
  </w:style>
  <w:style w:type="paragraph" w:styleId="BalloonText">
    <w:name w:val="Balloon Text"/>
    <w:basedOn w:val="Normal"/>
    <w:link w:val="BalloonTextChar"/>
    <w:uiPriority w:val="99"/>
    <w:semiHidden/>
    <w:unhideWhenUsed/>
    <w:qFormat/>
    <w:rsid w:val="008a0157"/>
    <w:pPr>
      <w:spacing w:lineRule="auto" w:line="240" w:before="0" w:after="0"/>
    </w:pPr>
    <w:rPr>
      <w:rFonts w:ascii="Lucida Grande" w:hAnsi="Lucida Grande" w:cs="Lucida Grande"/>
      <w:sz w:val="18"/>
      <w:szCs w:val="18"/>
    </w:rPr>
  </w:style>
  <w:style w:type="paragraph" w:styleId="CommentText">
    <w:name w:val="annotation text"/>
    <w:basedOn w:val="Normal"/>
    <w:link w:val="CommentTextChar"/>
    <w:uiPriority w:val="99"/>
    <w:semiHidden/>
    <w:unhideWhenUsed/>
    <w:rsid w:val="008a0157"/>
    <w:pPr>
      <w:spacing w:lineRule="auto" w:line="240"/>
    </w:pPr>
    <w:rPr>
      <w:sz w:val="24"/>
      <w:szCs w:val="24"/>
    </w:rPr>
  </w:style>
  <w:style w:type="paragraph" w:styleId="annotationsubject">
    <w:name w:val="annotation subject"/>
    <w:basedOn w:val="CommentText"/>
    <w:next w:val="CommentText"/>
    <w:link w:val="CommentSubjectChar"/>
    <w:uiPriority w:val="99"/>
    <w:semiHidden/>
    <w:unhideWhenUsed/>
    <w:qFormat/>
    <w:rsid w:val="008a0157"/>
    <w:pPr/>
    <w:rPr>
      <w:b/>
      <w:bCs/>
      <w:sz w:val="20"/>
      <w:szCs w:val="20"/>
    </w:rPr>
  </w:style>
  <w:style w:type="paragraph" w:styleId="HeaderandFooter">
    <w:name w:val="Header and Footer"/>
    <w:basedOn w:val="Normal"/>
    <w:qFormat/>
    <w:pPr/>
    <w:rPr/>
  </w:style>
  <w:style w:type="paragraph" w:styleId="Header">
    <w:name w:val="header"/>
    <w:basedOn w:val="Normal"/>
    <w:link w:val="HeaderChar"/>
    <w:uiPriority w:val="99"/>
    <w:unhideWhenUsed/>
    <w:rsid w:val="0096617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96617c"/>
    <w:pPr>
      <w:tabs>
        <w:tab w:val="clear" w:pos="720"/>
        <w:tab w:val="center" w:pos="4680" w:leader="none"/>
        <w:tab w:val="right" w:pos="9360"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e048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4C76F9F33A72D49BE28C9B60B325130" ma:contentTypeVersion="13" ma:contentTypeDescription="Create a new document." ma:contentTypeScope="" ma:versionID="6e04c07c9ed35c04ed1bf063b508751d">
  <xsd:schema xmlns:xsd="http://www.w3.org/2001/XMLSchema" xmlns:xs="http://www.w3.org/2001/XMLSchema" xmlns:p="http://schemas.microsoft.com/office/2006/metadata/properties" xmlns:ns3="c97bc862-bc38-4da9-8828-273c28c2073e" xmlns:ns4="0938e177-a50f-47c9-8ca6-46978f773e47" targetNamespace="http://schemas.microsoft.com/office/2006/metadata/properties" ma:root="true" ma:fieldsID="19affc7b0705f529cc2cd34a83d18213" ns3:_="" ns4:_="">
    <xsd:import namespace="c97bc862-bc38-4da9-8828-273c28c2073e"/>
    <xsd:import namespace="0938e177-a50f-47c9-8ca6-46978f773e4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7bc862-bc38-4da9-8828-273c28c2073e"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938e177-a50f-47c9-8ca6-46978f773e4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77E77C-A4A4-46D3-AFBE-455B4B021947}">
  <ds:schemaRefs>
    <ds:schemaRef ds:uri="http://schemas.microsoft.com/office/2006/metadata/properties"/>
    <ds:schemaRef ds:uri="http://schemas.microsoft.com/office/infopath/2007/PartnerControls"/>
    <ds:schemaRef ds:uri="http://purl.org/dc/terms/"/>
    <ds:schemaRef ds:uri="0938e177-a50f-47c9-8ca6-46978f773e47"/>
    <ds:schemaRef ds:uri="c97bc862-bc38-4da9-8828-273c28c2073e"/>
    <ds:schemaRef ds:uri="http://schemas.openxmlformats.org/package/2006/metadata/core-properties"/>
    <ds:schemaRef ds:uri="http://schemas.microsoft.com/office/2006/documentManagement/types"/>
    <ds:schemaRef ds:uri="http://purl.org/dc/dcmitype/"/>
    <ds:schemaRef ds:uri="http://www.w3.org/XML/1998/namespace"/>
    <ds:schemaRef ds:uri="http://purl.org/dc/elements/1.1/"/>
  </ds:schemaRefs>
</ds:datastoreItem>
</file>

<file path=customXml/itemProps2.xml><?xml version="1.0" encoding="utf-8"?>
<ds:datastoreItem xmlns:ds="http://schemas.openxmlformats.org/officeDocument/2006/customXml" ds:itemID="{30B2B56F-6037-4890-A5F5-5FE5D4EB94BF}">
  <ds:schemaRefs>
    <ds:schemaRef ds:uri="http://schemas.microsoft.com/sharepoint/v3/contenttype/forms"/>
  </ds:schemaRefs>
</ds:datastoreItem>
</file>

<file path=customXml/itemProps3.xml><?xml version="1.0" encoding="utf-8"?>
<ds:datastoreItem xmlns:ds="http://schemas.openxmlformats.org/officeDocument/2006/customXml" ds:itemID="{41B1343C-DD96-4F54-A2AE-6DEB1CC575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7bc862-bc38-4da9-8828-273c28c2073e"/>
    <ds:schemaRef ds:uri="0938e177-a50f-47c9-8ca6-46978f773e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LibreOffice/26.2.2.2$Linux_X86_64 LibreOffice_project/620$Build-2</Application>
  <AppVersion>15.0000</AppVersion>
  <Pages>6</Pages>
  <Words>1344</Words>
  <Characters>8010</Characters>
  <CharactersWithSpaces>9286</CharactersWithSpaces>
  <Paragraphs>85</Paragraphs>
  <Company>Purdue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2020-07-21T15:07:00Z</dcterms:created>
  <dc:creator>Tim Newby</dc:creator>
  <dc:description/>
  <dc:language>en-US</dc:language>
  <cp:lastModifiedBy/>
  <dcterms:modified xsi:type="dcterms:W3CDTF">2026-05-31T20:45:36Z</dcterms:modified>
  <cp:revision>4</cp:revision>
  <dc:subject/>
  <dc:title>Practicum Weekly Project Status Report Form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0x01010074C76F9F33A72D49BE28C9B60B325130</vt:lpwstr>
  </property>
</Properties>
</file>