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ci-57300-revised-project-proposal-v3"/>
    <w:p>
      <w:pPr>
        <w:pStyle w:val="Heading1"/>
      </w:pPr>
      <w:r>
        <w:t xml:space="preserve">EDCI 57300 — Revised Project Proposal (v3)</w:t>
      </w:r>
    </w:p>
    <w:p>
      <w:pPr>
        <w:pStyle w:val="FirstParagraph"/>
      </w:pPr>
      <w:r>
        <w:rPr>
          <w:b/>
          <w:bCs/>
        </w:rPr>
        <w:t xml:space="preserve">Student:</w:t>
      </w:r>
      <w:r>
        <w:t xml:space="preserve"> </w:t>
      </w:r>
      <w:r>
        <w:t xml:space="preserve">Joshua Atkinson</w:t>
      </w:r>
      <w:r>
        <w:br/>
      </w:r>
      <w:r>
        <w:rPr>
          <w:b/>
          <w:bCs/>
        </w:rPr>
        <w:t xml:space="preserve">Course:</w:t>
      </w:r>
      <w:r>
        <w:t xml:space="preserve"> </w:t>
      </w:r>
      <w:r>
        <w:t xml:space="preserve">EDCI 57300 Practicum</w:t>
      </w:r>
      <w:r>
        <w:br/>
      </w:r>
      <w:r>
        <w:rPr>
          <w:b/>
          <w:bCs/>
        </w:rPr>
        <w:t xml:space="preserve">Instructor:</w:t>
      </w:r>
      <w:r>
        <w:t xml:space="preserve"> </w:t>
      </w:r>
      <w:r>
        <w:t xml:space="preserve">Dr. Jennifer Richardson</w:t>
      </w:r>
      <w:r>
        <w:br/>
      </w:r>
      <w:r>
        <w:rPr>
          <w:b/>
          <w:bCs/>
        </w:rPr>
        <w:t xml:space="preserve">Date:</w:t>
      </w:r>
      <w:r>
        <w:t xml:space="preserve"> </w:t>
      </w:r>
      <w:r>
        <w:t xml:space="preserve">May 29, 2026</w:t>
      </w:r>
      <w:r>
        <w:br/>
      </w:r>
      <w:r>
        <w:rPr>
          <w:b/>
          <w:bCs/>
        </w:rPr>
        <w:t xml:space="preserve">Project:</w:t>
      </w:r>
      <w:r>
        <w:t xml:space="preserve"> </w:t>
      </w:r>
      <w:r>
        <w:t xml:space="preserve">Voix Vive — Somatic Guitar Mentorship Platform</w:t>
      </w:r>
    </w:p>
    <w:p>
      <w:pPr>
        <w:pStyle w:val="BlockText"/>
      </w:pPr>
      <w:r>
        <w:rPr>
          <w:b/>
          <w:bCs/>
        </w:rPr>
        <w:t xml:space="preserve">Note:</w:t>
      </w:r>
      <w:r>
        <w:t xml:space="preserve"> </w:t>
      </w:r>
      <w:r>
        <w:t xml:space="preserve">This proposal supersedes the May 25 submission. It reflects four additional days of build progress and corrects an error in the original regarding Bertrand Laurence’s credentials.</w:t>
      </w:r>
    </w:p>
    <w:p>
      <w:r>
        <w:pict>
          <v:rect style="width:0;height:1.5pt" o:hralign="center" o:hrstd="t" o:hr="t"/>
        </w:pict>
      </w:r>
    </w:p>
    <w:bookmarkStart w:id="17" w:name="part-1-narrative-proposal"/>
    <w:p>
      <w:pPr>
        <w:pStyle w:val="Heading2"/>
      </w:pPr>
      <w:r>
        <w:t xml:space="preserve">Part 1: Narrative Proposal</w:t>
      </w:r>
    </w:p>
    <w:bookmarkStart w:id="9" w:name="project-description"/>
    <w:p>
      <w:pPr>
        <w:pStyle w:val="Heading3"/>
      </w:pPr>
      <w:r>
        <w:t xml:space="preserve">Project Description</w:t>
      </w:r>
    </w:p>
    <w:p>
      <w:pPr>
        <w:pStyle w:val="FirstParagraph"/>
      </w:pPr>
      <w:r>
        <w:t xml:space="preserve">Voix Vive (</w:t>
      </w:r>
      <w:r>
        <w:t xml:space="preserve">“The Living Voice”</w:t>
      </w:r>
      <w:r>
        <w:t xml:space="preserve">) is a web-based guitar mentorship platform built for</w:t>
      </w:r>
      <w:r>
        <w:t xml:space="preserve"> </w:t>
      </w:r>
      <w:r>
        <w:rPr>
          <w:b/>
          <w:bCs/>
        </w:rPr>
        <w:t xml:space="preserve">Bertrand Laurence</w:t>
      </w:r>
      <w:r>
        <w:t xml:space="preserve">, a master guitarist and vocalist who teaches group classes at Passim School of Music in Cambridge, MA, and operates a solo studio in Houlton, Maine. The platform is live at</w:t>
      </w:r>
      <w:r>
        <w:t xml:space="preserve"> </w:t>
      </w:r>
      <w:r>
        <w:rPr>
          <w:b/>
          <w:bCs/>
        </w:rPr>
        <w:t xml:space="preserve">voix-vive.com</w:t>
      </w:r>
      <w:r>
        <w:t xml:space="preserve">.</w:t>
      </w:r>
    </w:p>
    <w:p>
      <w:pPr>
        <w:pStyle w:val="BodyText"/>
      </w:pPr>
      <w:r>
        <w:t xml:space="preserve">It operates on an anti-dopamine</w:t>
      </w:r>
      <w:r>
        <w:t xml:space="preserve"> </w:t>
      </w:r>
      <w:r>
        <w:t xml:space="preserve">“Slow Web”</w:t>
      </w:r>
      <w:r>
        <w:t xml:space="preserve"> </w:t>
      </w:r>
      <w:r>
        <w:t xml:space="preserve">philosophy: the student is not a broken instrument waiting to be repaired — they are the song that has not yet fully sounded. Measurement tracks expansion (audiation depth, somatic awareness, expressive confidence) rather than deficit reduction (speed, accuracy, leaderboard rank).</w:t>
      </w:r>
    </w:p>
    <w:p>
      <w:pPr>
        <w:pStyle w:val="BodyText"/>
      </w:pPr>
      <w:r>
        <w:rPr>
          <w:b/>
          <w:bCs/>
        </w:rPr>
        <w:t xml:space="preserve">Four integrated layers:</w:t>
      </w:r>
    </w:p>
    <w:p>
      <w:pPr>
        <w:pStyle w:val="Compact"/>
        <w:numPr>
          <w:ilvl w:val="0"/>
          <w:numId w:val="1001"/>
        </w:numPr>
      </w:pPr>
      <w:r>
        <w:rPr>
          <w:b/>
          <w:bCs/>
        </w:rPr>
        <w:t xml:space="preserve">The Living Textbook</w:t>
      </w:r>
      <w:r>
        <w:t xml:space="preserve"> </w:t>
      </w:r>
      <w:r>
        <w:t xml:space="preserve">— Free, 12-chapter swipeable curriculum mapping the Hero’s Journey onto the 12 intervals of the Western chromatic scale, with original artwork, pedagogical slides, Pythagorean ratio context, and exercises grounded in audiation theory (Gordon, 1997).</w:t>
      </w:r>
    </w:p>
    <w:p>
      <w:pPr>
        <w:pStyle w:val="Compact"/>
        <w:numPr>
          <w:ilvl w:val="0"/>
          <w:numId w:val="1001"/>
        </w:numPr>
      </w:pPr>
      <w:r>
        <w:rPr>
          <w:b/>
          <w:bCs/>
        </w:rPr>
        <w:t xml:space="preserve">The Troubadour Playbook</w:t>
      </w:r>
      <w:r>
        <w:t xml:space="preserve"> </w:t>
      </w:r>
      <w:r>
        <w:t xml:space="preserve">— 12 interactive somatic practice tools driven by Web Audio API, implementing Bertrand’s proprietary protocols: ©SHEARL (See/Hear/Feel), ©PLING! (Play/Listen/Internalize/Navigate/Glide), and ©FHEAL (Feel/Hear/Express/Act/Live).</w:t>
      </w:r>
    </w:p>
    <w:p>
      <w:pPr>
        <w:pStyle w:val="Compact"/>
        <w:numPr>
          <w:ilvl w:val="0"/>
          <w:numId w:val="1001"/>
        </w:numPr>
      </w:pPr>
      <w:r>
        <w:rPr>
          <w:b/>
          <w:bCs/>
        </w:rPr>
        <w:t xml:space="preserve">The Studio</w:t>
      </w:r>
      <w:r>
        <w:t xml:space="preserve"> </w:t>
      </w:r>
      <w:r>
        <w:t xml:space="preserve">— Business landing page with live lesson bookings, async video feedback, membership tiers, and workshops.</w:t>
      </w:r>
    </w:p>
    <w:p>
      <w:pPr>
        <w:pStyle w:val="Compact"/>
        <w:numPr>
          <w:ilvl w:val="0"/>
          <w:numId w:val="1001"/>
        </w:numPr>
      </w:pPr>
      <w:r>
        <w:rPr>
          <w:b/>
          <w:bCs/>
        </w:rPr>
        <w:t xml:space="preserve">Local AI Coaching (DaaS)</w:t>
      </w:r>
      <w:r>
        <w:t xml:space="preserve"> </w:t>
      </w:r>
      <w:r>
        <w:t xml:space="preserve">— Locally hosted LLM backend (LM Studio, port 1234) providing Socratic coaching at zero marginal cloud cost. A custom</w:t>
      </w:r>
      <w:r>
        <w:t xml:space="preserve"> </w:t>
      </w:r>
      <w:r>
        <w:rPr>
          <w:rStyle w:val="VerbatimChar"/>
        </w:rPr>
        <w:t xml:space="preserve">useTroubadourAI</w:t>
      </w:r>
      <w:r>
        <w:t xml:space="preserve"> </w:t>
      </w:r>
      <w:r>
        <w:t xml:space="preserve">hook auto-detects available backends (vLLM → llama.cpp → StepAudio → LM Studio → offline fallback) and routes Socratic prompts grounded in Bertrand’s actual pedagogy.</w:t>
      </w:r>
    </w:p>
    <w:bookmarkEnd w:id="9"/>
    <w:bookmarkStart w:id="10" w:name="organization-description"/>
    <w:p>
      <w:pPr>
        <w:pStyle w:val="Heading3"/>
      </w:pPr>
      <w:r>
        <w:t xml:space="preserve">Organization Description</w:t>
      </w:r>
    </w:p>
    <w:p>
      <w:pPr>
        <w:pStyle w:val="FirstParagraph"/>
      </w:pPr>
      <w:r>
        <w:rPr>
          <w:b/>
          <w:bCs/>
        </w:rPr>
        <w:t xml:space="preserve">Bertrand Laurence Guitar Studio</w:t>
      </w:r>
      <w:r>
        <w:t xml:space="preserve"> </w:t>
      </w:r>
      <w:r>
        <w:t xml:space="preserve">is an independent music education practice operated from Houlton, Maine. Bertrand has trained at MassArt and Mirage Mime Theatre, and teaches group classes at Passim School of Music in Cambridge, MA (Thumbtack Top Pro, multiple years). His audience is adult learners (ages 30–65) managing performance anxiety, inner-critic interference, and fragmented practice time. The studio is transitioning from an hourly-lesson model to a scalable digital hybrid, with the free textbook serving as a marketing funnel to paid services.</w:t>
      </w:r>
    </w:p>
    <w:p>
      <w:pPr>
        <w:pStyle w:val="BodyText"/>
      </w:pPr>
      <w:r>
        <w:rPr>
          <w:b/>
          <w:bCs/>
        </w:rPr>
        <w:t xml:space="preserve">Contact Information:</w:t>
      </w:r>
      <w:r>
        <w:t xml:space="preserve"> </w:t>
      </w:r>
      <w:r>
        <w:t xml:space="preserve">-</w:t>
      </w:r>
      <w:r>
        <w:t xml:space="preserve"> </w:t>
      </w:r>
      <w:r>
        <w:rPr>
          <w:b/>
          <w:bCs/>
        </w:rPr>
        <w:t xml:space="preserve">Name:</w:t>
      </w:r>
      <w:r>
        <w:t xml:space="preserve"> </w:t>
      </w:r>
      <w:r>
        <w:t xml:space="preserve">Bertrand Laurence</w:t>
      </w:r>
      <w:r>
        <w:t xml:space="preserve"> </w:t>
      </w:r>
      <w:r>
        <w:t xml:space="preserve">-</w:t>
      </w:r>
      <w:r>
        <w:t xml:space="preserve"> </w:t>
      </w:r>
      <w:r>
        <w:rPr>
          <w:b/>
          <w:bCs/>
        </w:rPr>
        <w:t xml:space="preserve">Position:</w:t>
      </w:r>
      <w:r>
        <w:t xml:space="preserve"> </w:t>
      </w:r>
      <w:r>
        <w:t xml:space="preserve">Owner, Master Guitar Instructor</w:t>
      </w:r>
      <w:r>
        <w:t xml:space="preserve"> </w:t>
      </w:r>
      <w:r>
        <w:t xml:space="preserve">-</w:t>
      </w:r>
      <w:r>
        <w:t xml:space="preserve"> </w:t>
      </w:r>
      <w:r>
        <w:rPr>
          <w:b/>
          <w:bCs/>
        </w:rPr>
        <w:t xml:space="preserve">Email:</w:t>
      </w:r>
      <w:r>
        <w:t xml:space="preserve"> </w:t>
      </w:r>
      <w:r>
        <w:t xml:space="preserve">bertlarrymusic@gmail.com</w:t>
      </w:r>
      <w:r>
        <w:t xml:space="preserve"> </w:t>
      </w:r>
      <w:r>
        <w:t xml:space="preserve">-</w:t>
      </w:r>
      <w:r>
        <w:t xml:space="preserve"> </w:t>
      </w:r>
      <w:r>
        <w:rPr>
          <w:b/>
          <w:bCs/>
        </w:rPr>
        <w:t xml:space="preserve">Phone:</w:t>
      </w:r>
      <w:r>
        <w:t xml:space="preserve"> </w:t>
      </w:r>
      <w:r>
        <w:t xml:space="preserve">617-447-5575</w:t>
      </w:r>
      <w:r>
        <w:t xml:space="preserve"> </w:t>
      </w:r>
      <w:r>
        <w:t xml:space="preserve">-</w:t>
      </w:r>
      <w:r>
        <w:t xml:space="preserve"> </w:t>
      </w:r>
      <w:r>
        <w:rPr>
          <w:b/>
          <w:bCs/>
        </w:rPr>
        <w:t xml:space="preserve">Address:</w:t>
      </w:r>
      <w:r>
        <w:t xml:space="preserve"> </w:t>
      </w:r>
      <w:r>
        <w:t xml:space="preserve">148 Richdale Ave, Cambridge MA 02140</w:t>
      </w:r>
      <w:r>
        <w:t xml:space="preserve"> </w:t>
      </w:r>
      <w:r>
        <w:t xml:space="preserve">-</w:t>
      </w:r>
      <w:r>
        <w:t xml:space="preserve"> </w:t>
      </w:r>
      <w:r>
        <w:rPr>
          <w:b/>
          <w:bCs/>
        </w:rPr>
        <w:t xml:space="preserve">Website:</w:t>
      </w:r>
      <w:r>
        <w:t xml:space="preserve"> </w:t>
      </w:r>
      <w:r>
        <w:t xml:space="preserve">https://voix-vive.com</w:t>
      </w:r>
    </w:p>
    <w:bookmarkEnd w:id="10"/>
    <w:bookmarkStart w:id="11" w:name="project-goals-and-deliverables"/>
    <w:p>
      <w:pPr>
        <w:pStyle w:val="Heading3"/>
      </w:pPr>
      <w:r>
        <w:t xml:space="preserve">Project Goals and Deliverables</w:t>
      </w:r>
    </w:p>
    <w:p>
      <w:pPr>
        <w:pStyle w:val="FirstParagraph"/>
      </w:pPr>
      <w:r>
        <w:rPr>
          <w:b/>
          <w:bCs/>
        </w:rPr>
        <w:t xml:space="preserve">Primary Goal:</w:t>
      </w:r>
      <w:r>
        <w:t xml:space="preserve"> </w:t>
      </w:r>
      <w:r>
        <w:t xml:space="preserve">Deploy a web platform and local AI coaching infrastructure that expands the expressive range of adult guitar students while establishing financial sovereignty for the instructor.</w:t>
      </w:r>
    </w:p>
    <w:p>
      <w:pPr>
        <w:pStyle w:val="BodyText"/>
      </w:pPr>
      <w:r>
        <w:rPr>
          <w:b/>
          <w:bCs/>
        </w:rPr>
        <w:t xml:space="preserve">Measurable Goals:</w:t>
      </w:r>
    </w:p>
    <w:tbl>
      <w:tblPr>
        <w:tblStyle w:val="Table"/>
        <w:tblW w:type="pct" w:w="5000"/>
        <w:tblLayout w:type="fixed"/>
        <w:tblLook w:firstRow="1" w:lastRow="0" w:firstColumn="0" w:lastColumn="0" w:noHBand="0" w:noVBand="0" w:val="0020"/>
      </w:tblPr>
      <w:tblGrid>
        <w:gridCol w:w="1900"/>
        <w:gridCol w:w="3484"/>
        <w:gridCol w:w="2534"/>
      </w:tblGrid>
      <w:tr>
        <w:trPr>
          <w:tblHeader w:val="on"/>
        </w:trPr>
        <w:tc>
          <w:tcPr/>
          <w:p>
            <w:pPr>
              <w:pStyle w:val="Compact"/>
            </w:pPr>
            <w:r>
              <w:t xml:space="preserve">Goal</w:t>
            </w:r>
          </w:p>
        </w:tc>
        <w:tc>
          <w:tcPr/>
          <w:p>
            <w:pPr>
              <w:pStyle w:val="Compact"/>
            </w:pPr>
            <w:r>
              <w:t xml:space="preserve">Instrument</w:t>
            </w:r>
          </w:p>
        </w:tc>
        <w:tc>
          <w:tcPr/>
          <w:p>
            <w:pPr>
              <w:pStyle w:val="Compact"/>
            </w:pPr>
            <w:r>
              <w:t xml:space="preserve">Target</w:t>
            </w:r>
          </w:p>
        </w:tc>
      </w:tr>
      <w:tr>
        <w:tc>
          <w:tcPr/>
          <w:p>
            <w:pPr>
              <w:pStyle w:val="Compact"/>
            </w:pPr>
            <w:r>
              <w:t xml:space="preserve">Audiation Depth</w:t>
            </w:r>
          </w:p>
        </w:tc>
        <w:tc>
          <w:tcPr/>
          <w:p>
            <w:pPr>
              <w:pStyle w:val="Compact"/>
            </w:pPr>
            <w:r>
              <w:t xml:space="preserve">Vertiscale placement accuracy</w:t>
            </w:r>
          </w:p>
        </w:tc>
        <w:tc>
          <w:tcPr/>
          <w:p>
            <w:pPr>
              <w:pStyle w:val="Compact"/>
            </w:pPr>
            <w:r>
              <w:t xml:space="preserve">≥ 60% by Session 5</w:t>
            </w:r>
          </w:p>
        </w:tc>
      </w:tr>
      <w:tr>
        <w:tc>
          <w:tcPr/>
          <w:p>
            <w:pPr>
              <w:pStyle w:val="Compact"/>
            </w:pPr>
            <w:r>
              <w:t xml:space="preserve">Pitch Internalization</w:t>
            </w:r>
          </w:p>
        </w:tc>
        <w:tc>
          <w:tcPr/>
          <w:p>
            <w:pPr>
              <w:pStyle w:val="Compact"/>
            </w:pPr>
            <w:r>
              <w:t xml:space="preserve">PlingTrainer cents deviation</w:t>
            </w:r>
          </w:p>
        </w:tc>
        <w:tc>
          <w:tcPr/>
          <w:p>
            <w:pPr>
              <w:pStyle w:val="Compact"/>
            </w:pPr>
            <w:r>
              <w:t xml:space="preserve">≥ 20% reduction, Wk 1→4</w:t>
            </w:r>
          </w:p>
        </w:tc>
      </w:tr>
      <w:tr>
        <w:tc>
          <w:tcPr/>
          <w:p>
            <w:pPr>
              <w:pStyle w:val="Compact"/>
            </w:pPr>
            <w:r>
              <w:t xml:space="preserve">Somatic Expansion</w:t>
            </w:r>
          </w:p>
        </w:tc>
        <w:tc>
          <w:tcPr/>
          <w:p>
            <w:pPr>
              <w:pStyle w:val="Compact"/>
            </w:pPr>
            <w:r>
              <w:t xml:space="preserve">FHEAL journal composite</w:t>
            </w:r>
          </w:p>
        </w:tc>
        <w:tc>
          <w:tcPr/>
          <w:p>
            <w:pPr>
              <w:pStyle w:val="Compact"/>
            </w:pPr>
            <w:r>
              <w:t xml:space="preserve">≥ 2-pt increase, Sess. 1→8</w:t>
            </w:r>
          </w:p>
        </w:tc>
      </w:tr>
      <w:tr>
        <w:tc>
          <w:tcPr/>
          <w:p>
            <w:pPr>
              <w:pStyle w:val="Compact"/>
            </w:pPr>
            <w:r>
              <w:t xml:space="preserve">Flow State</w:t>
            </w:r>
          </w:p>
        </w:tc>
        <w:tc>
          <w:tcPr/>
          <w:p>
            <w:pPr>
              <w:pStyle w:val="Compact"/>
            </w:pPr>
            <w:r>
              <w:t xml:space="preserve">Post-session Likert (1–5)</w:t>
            </w:r>
          </w:p>
        </w:tc>
        <w:tc>
          <w:tcPr/>
          <w:p>
            <w:pPr>
              <w:pStyle w:val="Compact"/>
            </w:pPr>
            <w:r>
              <w:t xml:space="preserve">Mean ≥ 3.5 over 4 weeks</w:t>
            </w:r>
          </w:p>
        </w:tc>
      </w:tr>
      <w:tr>
        <w:tc>
          <w:tcPr/>
          <w:p>
            <w:pPr>
              <w:pStyle w:val="Compact"/>
            </w:pPr>
            <w:r>
              <w:t xml:space="preserve">Financial Sovereignty</w:t>
            </w:r>
          </w:p>
        </w:tc>
        <w:tc>
          <w:tcPr/>
          <w:p>
            <w:pPr>
              <w:pStyle w:val="Compact"/>
            </w:pPr>
            <w:r>
              <w:t xml:space="preserve">Local inference verification</w:t>
            </w:r>
          </w:p>
        </w:tc>
        <w:tc>
          <w:tcPr/>
          <w:p>
            <w:pPr>
              <w:pStyle w:val="Compact"/>
            </w:pPr>
            <w:r>
              <w:t xml:space="preserve">$0/query cloud cost</w:t>
            </w:r>
          </w:p>
        </w:tc>
      </w:tr>
    </w:tbl>
    <w:p>
      <w:pPr>
        <w:pStyle w:val="BodyText"/>
      </w:pPr>
      <w:r>
        <w:rPr>
          <w:b/>
          <w:bCs/>
        </w:rPr>
        <w:t xml:space="preserve">Practicum Deliverables (~83 hours, Phases 0–2):</w:t>
      </w:r>
    </w:p>
    <w:tbl>
      <w:tblPr>
        <w:tblStyle w:val="Table"/>
        <w:tblW w:type="pct" w:w="5000"/>
        <w:tblLayout w:type="fixed"/>
        <w:tblLook w:firstRow="1" w:lastRow="0" w:firstColumn="0" w:lastColumn="0" w:noHBand="0" w:noVBand="0" w:val="0020"/>
      </w:tblPr>
      <w:tblGrid>
        <w:gridCol w:w="1033"/>
        <w:gridCol w:w="4132"/>
        <w:gridCol w:w="2754"/>
      </w:tblGrid>
      <w:tr>
        <w:trPr>
          <w:tblHeader w:val="on"/>
        </w:trPr>
        <w:tc>
          <w:tcPr/>
          <w:p>
            <w:pPr>
              <w:pStyle w:val="Compact"/>
            </w:pPr>
            <w:r>
              <w:t xml:space="preserve">#</w:t>
            </w:r>
          </w:p>
        </w:tc>
        <w:tc>
          <w:tcPr/>
          <w:p>
            <w:pPr>
              <w:pStyle w:val="Compact"/>
            </w:pPr>
            <w:r>
              <w:t xml:space="preserve">Deliverable</w:t>
            </w:r>
          </w:p>
        </w:tc>
        <w:tc>
          <w:tcPr/>
          <w:p>
            <w:pPr>
              <w:pStyle w:val="Compact"/>
            </w:pPr>
            <w:r>
              <w:t xml:space="preserve">Status</w:t>
            </w:r>
          </w:p>
        </w:tc>
      </w:tr>
      <w:tr>
        <w:tc>
          <w:tcPr/>
          <w:p>
            <w:pPr>
              <w:pStyle w:val="Compact"/>
            </w:pPr>
            <w:r>
              <w:t xml:space="preserve">1</w:t>
            </w:r>
          </w:p>
        </w:tc>
        <w:tc>
          <w:tcPr/>
          <w:p>
            <w:pPr>
              <w:pStyle w:val="Compact"/>
            </w:pPr>
            <w:r>
              <w:t xml:space="preserve">Living Textbook — 12-chapter interactive reader with 144 DAG nodes</w:t>
            </w:r>
          </w:p>
        </w:tc>
        <w:tc>
          <w:tcPr/>
          <w:p>
            <w:pPr>
              <w:pStyle w:val="Compact"/>
            </w:pPr>
            <w:r>
              <w:t xml:space="preserve">✅</w:t>
            </w:r>
          </w:p>
        </w:tc>
      </w:tr>
      <w:tr>
        <w:tc>
          <w:tcPr/>
          <w:p>
            <w:pPr>
              <w:pStyle w:val="Compact"/>
            </w:pPr>
            <w:r>
              <w:t xml:space="preserve">2</w:t>
            </w:r>
          </w:p>
        </w:tc>
        <w:tc>
          <w:tcPr/>
          <w:p>
            <w:pPr>
              <w:pStyle w:val="Compact"/>
            </w:pPr>
            <w:r>
              <w:t xml:space="preserve">Troubadour Playbook — 12 somatic practice tools</w:t>
            </w:r>
          </w:p>
        </w:tc>
        <w:tc>
          <w:tcPr/>
          <w:p>
            <w:pPr>
              <w:pStyle w:val="Compact"/>
            </w:pPr>
            <w:r>
              <w:t xml:space="preserve">✅</w:t>
            </w:r>
          </w:p>
        </w:tc>
      </w:tr>
      <w:tr>
        <w:tc>
          <w:tcPr/>
          <w:p>
            <w:pPr>
              <w:pStyle w:val="Compact"/>
            </w:pPr>
            <w:r>
              <w:t xml:space="preserve">3</w:t>
            </w:r>
          </w:p>
        </w:tc>
        <w:tc>
          <w:tcPr/>
          <w:p>
            <w:pPr>
              <w:pStyle w:val="Compact"/>
            </w:pPr>
            <w:r>
              <w:t xml:space="preserve">Vertiscale Imagination Engine (Flash → Imagine → Reflect)</w:t>
            </w:r>
          </w:p>
        </w:tc>
        <w:tc>
          <w:tcPr/>
          <w:p>
            <w:pPr>
              <w:pStyle w:val="Compact"/>
            </w:pPr>
            <w:r>
              <w:t xml:space="preserve">✅</w:t>
            </w:r>
          </w:p>
        </w:tc>
      </w:tr>
      <w:tr>
        <w:tc>
          <w:tcPr/>
          <w:p>
            <w:pPr>
              <w:pStyle w:val="Compact"/>
            </w:pPr>
            <w:r>
              <w:t xml:space="preserve">4</w:t>
            </w:r>
          </w:p>
        </w:tc>
        <w:tc>
          <w:tcPr/>
          <w:p>
            <w:pPr>
              <w:pStyle w:val="Compact"/>
            </w:pPr>
            <w:r>
              <w:t xml:space="preserve">Troubadour Adventure — 12-scene bilingual narrative</w:t>
            </w:r>
          </w:p>
        </w:tc>
        <w:tc>
          <w:tcPr/>
          <w:p>
            <w:pPr>
              <w:pStyle w:val="Compact"/>
            </w:pPr>
            <w:r>
              <w:t xml:space="preserve">✅</w:t>
            </w:r>
          </w:p>
        </w:tc>
      </w:tr>
      <w:tr>
        <w:tc>
          <w:tcPr/>
          <w:p>
            <w:pPr>
              <w:pStyle w:val="Compact"/>
            </w:pPr>
            <w:r>
              <w:t xml:space="preserve">5</w:t>
            </w:r>
          </w:p>
        </w:tc>
        <w:tc>
          <w:tcPr/>
          <w:p>
            <w:pPr>
              <w:pStyle w:val="Compact"/>
            </w:pPr>
            <w:r>
              <w:t xml:space="preserve">StudioPage — Services, pricing, payment integration</w:t>
            </w:r>
          </w:p>
        </w:tc>
        <w:tc>
          <w:tcPr/>
          <w:p>
            <w:pPr>
              <w:pStyle w:val="Compact"/>
            </w:pPr>
            <w:r>
              <w:t xml:space="preserve">✅</w:t>
            </w:r>
          </w:p>
        </w:tc>
      </w:tr>
      <w:tr>
        <w:tc>
          <w:tcPr/>
          <w:p>
            <w:pPr>
              <w:pStyle w:val="Compact"/>
            </w:pPr>
            <w:r>
              <w:t xml:space="preserve">6</w:t>
            </w:r>
          </w:p>
        </w:tc>
        <w:tc>
          <w:tcPr/>
          <w:p>
            <w:pPr>
              <w:pStyle w:val="Compact"/>
            </w:pPr>
            <w:r>
              <w:t xml:space="preserve">Bilingual i18n — 340+ EN/FR translation keys</w:t>
            </w:r>
          </w:p>
        </w:tc>
        <w:tc>
          <w:tcPr/>
          <w:p>
            <w:pPr>
              <w:pStyle w:val="Compact"/>
            </w:pPr>
            <w:r>
              <w:t xml:space="preserve">✅</w:t>
            </w:r>
          </w:p>
        </w:tc>
      </w:tr>
      <w:tr>
        <w:tc>
          <w:tcPr/>
          <w:p>
            <w:pPr>
              <w:pStyle w:val="Compact"/>
            </w:pPr>
            <w:r>
              <w:t xml:space="preserve">7</w:t>
            </w:r>
          </w:p>
        </w:tc>
        <w:tc>
          <w:tcPr/>
          <w:p>
            <w:pPr>
              <w:pStyle w:val="Compact"/>
            </w:pPr>
            <w:r>
              <w:t xml:space="preserve">Identity &amp; Progression — Bardic Titles, CapstoneCard, Certification</w:t>
            </w:r>
          </w:p>
        </w:tc>
        <w:tc>
          <w:tcPr/>
          <w:p>
            <w:pPr>
              <w:pStyle w:val="Compact"/>
            </w:pPr>
            <w:r>
              <w:t xml:space="preserve">✅</w:t>
            </w:r>
          </w:p>
        </w:tc>
      </w:tr>
      <w:tr>
        <w:tc>
          <w:tcPr/>
          <w:p>
            <w:pPr>
              <w:pStyle w:val="Compact"/>
            </w:pPr>
            <w:r>
              <w:t xml:space="preserve">8</w:t>
            </w:r>
          </w:p>
        </w:tc>
        <w:tc>
          <w:tcPr/>
          <w:p>
            <w:pPr>
              <w:pStyle w:val="Compact"/>
            </w:pPr>
            <w:r>
              <w:t xml:space="preserve">PracticeJournal — 20-min DAG-based daily session generator</w:t>
            </w:r>
          </w:p>
        </w:tc>
        <w:tc>
          <w:tcPr/>
          <w:p>
            <w:pPr>
              <w:pStyle w:val="Compact"/>
            </w:pPr>
            <w:r>
              <w:t xml:space="preserve">✅</w:t>
            </w:r>
          </w:p>
        </w:tc>
      </w:tr>
      <w:tr>
        <w:tc>
          <w:tcPr/>
          <w:p>
            <w:pPr>
              <w:pStyle w:val="Compact"/>
            </w:pPr>
            <w:r>
              <w:t xml:space="preserve">9</w:t>
            </w:r>
          </w:p>
        </w:tc>
        <w:tc>
          <w:tcPr/>
          <w:p>
            <w:pPr>
              <w:pStyle w:val="Compact"/>
            </w:pPr>
            <w:r>
              <w:t xml:space="preserve">BEWorkbook — Node cards with BE→DO→PLAY progression</w:t>
            </w:r>
          </w:p>
        </w:tc>
        <w:tc>
          <w:tcPr/>
          <w:p>
            <w:pPr>
              <w:pStyle w:val="Compact"/>
            </w:pPr>
            <w:r>
              <w:t xml:space="preserve">✅</w:t>
            </w:r>
          </w:p>
        </w:tc>
      </w:tr>
      <w:tr>
        <w:tc>
          <w:tcPr/>
          <w:p>
            <w:pPr>
              <w:pStyle w:val="Compact"/>
            </w:pPr>
            <w:r>
              <w:t xml:space="preserve">10</w:t>
            </w:r>
          </w:p>
        </w:tc>
        <w:tc>
          <w:tcPr/>
          <w:p>
            <w:pPr>
              <w:pStyle w:val="Compact"/>
            </w:pPr>
            <w:r>
              <w:t xml:space="preserve">Local AI Coaching — useTroubadourAI, BetaGate, MockStudent</w:t>
            </w:r>
          </w:p>
        </w:tc>
        <w:tc>
          <w:tcPr/>
          <w:p>
            <w:pPr>
              <w:pStyle w:val="Compact"/>
            </w:pPr>
            <w:r>
              <w:t xml:space="preserve">✅</w:t>
            </w:r>
          </w:p>
        </w:tc>
      </w:tr>
      <w:tr>
        <w:tc>
          <w:tcPr/>
          <w:p>
            <w:pPr>
              <w:pStyle w:val="Compact"/>
            </w:pPr>
            <w:r>
              <w:t xml:space="preserve">11</w:t>
            </w:r>
          </w:p>
        </w:tc>
        <w:tc>
          <w:tcPr/>
          <w:p>
            <w:pPr>
              <w:pStyle w:val="Compact"/>
            </w:pPr>
            <w:r>
              <w:t xml:space="preserve">Deployment — voix-vive.com (Vercel, DNS, SSL)</w:t>
            </w:r>
          </w:p>
        </w:tc>
        <w:tc>
          <w:tcPr/>
          <w:p>
            <w:pPr>
              <w:pStyle w:val="Compact"/>
            </w:pPr>
            <w:r>
              <w:t xml:space="preserve">✅</w:t>
            </w:r>
          </w:p>
        </w:tc>
      </w:tr>
      <w:tr>
        <w:tc>
          <w:tcPr/>
          <w:p>
            <w:pPr>
              <w:pStyle w:val="Compact"/>
            </w:pPr>
            <w:r>
              <w:t xml:space="preserve">12</w:t>
            </w:r>
          </w:p>
        </w:tc>
        <w:tc>
          <w:tcPr/>
          <w:p>
            <w:pPr>
              <w:pStyle w:val="Compact"/>
            </w:pPr>
            <w:r>
              <w:t xml:space="preserve">Build &amp; Test Validation — 46/46 tests passing, 0 errors</w:t>
            </w:r>
          </w:p>
        </w:tc>
        <w:tc>
          <w:tcPr/>
          <w:p>
            <w:pPr>
              <w:pStyle w:val="Compact"/>
            </w:pPr>
            <w:r>
              <w:t xml:space="preserve">✅</w:t>
            </w:r>
          </w:p>
        </w:tc>
      </w:tr>
      <w:tr>
        <w:tc>
          <w:tcPr/>
          <w:p>
            <w:pPr>
              <w:pStyle w:val="Compact"/>
            </w:pPr>
            <w:r>
              <w:t xml:space="preserve">13</w:t>
            </w:r>
          </w:p>
        </w:tc>
        <w:tc>
          <w:tcPr/>
          <w:p>
            <w:pPr>
              <w:pStyle w:val="Compact"/>
            </w:pPr>
            <w:r>
              <w:t xml:space="preserve">Supabase Integration — Schema deployed, OAuth configured</w:t>
            </w:r>
          </w:p>
        </w:tc>
        <w:tc>
          <w:tcPr/>
          <w:p>
            <w:pPr>
              <w:pStyle w:val="Compact"/>
            </w:pPr>
            <w:r>
              <w:t xml:space="preserve">🔄</w:t>
            </w:r>
          </w:p>
        </w:tc>
      </w:tr>
      <w:tr>
        <w:tc>
          <w:tcPr/>
          <w:p>
            <w:pPr>
              <w:pStyle w:val="Compact"/>
            </w:pPr>
            <w:r>
              <w:t xml:space="preserve">14</w:t>
            </w:r>
          </w:p>
        </w:tc>
        <w:tc>
          <w:tcPr/>
          <w:p>
            <w:pPr>
              <w:pStyle w:val="Compact"/>
            </w:pPr>
            <w:r>
              <w:t xml:space="preserve">PracticeRecorder &amp; Mentor Dashboard</w:t>
            </w:r>
          </w:p>
        </w:tc>
        <w:tc>
          <w:tcPr/>
          <w:p>
            <w:pPr>
              <w:pStyle w:val="Compact"/>
            </w:pPr>
            <w:r>
              <w:t xml:space="preserve">🔄</w:t>
            </w:r>
          </w:p>
        </w:tc>
      </w:tr>
    </w:tbl>
    <w:p>
      <w:pPr>
        <w:pStyle w:val="BodyText"/>
      </w:pPr>
      <w:r>
        <w:rPr>
          <w:b/>
          <w:bCs/>
        </w:rPr>
        <w:t xml:space="preserve">Post-Practicum Scope (Phases 3–5):</w:t>
      </w:r>
      <w:r>
        <w:t xml:space="preserve"> </w:t>
      </w:r>
      <w:r>
        <w:t xml:space="preserve">- French curriculum translation</w:t>
      </w:r>
      <w:r>
        <w:t xml:space="preserve"> </w:t>
      </w:r>
      <w:r>
        <w:t xml:space="preserve">- Troubadour AI Evaluation System (Bronze/Silver/Gold tiers)</w:t>
      </w:r>
      <w:r>
        <w:t xml:space="preserve"> </w:t>
      </w:r>
      <w:r>
        <w:t xml:space="preserve">- Inner Circle Membership + Workshop Calendar</w:t>
      </w:r>
      <w:r>
        <w:t xml:space="preserve"> </w:t>
      </w:r>
      <w:r>
        <w:t xml:space="preserve">- Android PWA conversion</w:t>
      </w:r>
    </w:p>
    <w:bookmarkEnd w:id="11"/>
    <w:bookmarkStart w:id="12" w:name="id-and-evaluation-models"/>
    <w:p>
      <w:pPr>
        <w:pStyle w:val="Heading3"/>
      </w:pPr>
      <w:r>
        <w:t xml:space="preserve">ID and Evaluation Models</w:t>
      </w:r>
    </w:p>
    <w:p>
      <w:pPr>
        <w:pStyle w:val="FirstParagraph"/>
      </w:pPr>
      <w:r>
        <w:rPr>
          <w:b/>
          <w:bCs/>
        </w:rPr>
        <w:t xml:space="preserve">Primary ID Model: ADDIECRAPEYE</w:t>
      </w:r>
      <w:r>
        <w:t xml:space="preserve"> </w:t>
      </w:r>
      <w:r>
        <w:t xml:space="preserve">(Atkinson, 2026)</w:t>
      </w:r>
    </w:p>
    <w:p>
      <w:pPr>
        <w:pStyle w:val="BodyText"/>
      </w:pPr>
      <w:r>
        <w:t xml:space="preserve">A 12-phase, 3-layer instructional systems design framework whose closest academic parallel is Rapid Prototyping (Jones &amp; Richey, 1994). It extends Rapid Prototyping with explicit visual systems architecture principles (CRAP — Robin Williams, 2004) and real-time evaluation telemetry (EYE).</w:t>
      </w:r>
    </w:p>
    <w:p>
      <w:pPr>
        <w:pStyle w:val="BodyText"/>
      </w:pPr>
      <w:r>
        <w:rPr>
          <w:b/>
          <w:bCs/>
        </w:rPr>
        <w:t xml:space="preserve">Evaluation Model: Kirkpatrick’s Four Levels</w:t>
      </w:r>
      <w:r>
        <w:t xml:space="preserve"> </w:t>
      </w:r>
      <w:r>
        <w:t xml:space="preserve">(adapted for somatic pedagogy)</w:t>
      </w:r>
    </w:p>
    <w:tbl>
      <w:tblPr>
        <w:tblStyle w:val="Table"/>
        <w:tblW w:type="pct" w:w="5000"/>
        <w:tblLayout w:type="fixed"/>
        <w:tblLook w:firstRow="1" w:lastRow="0" w:firstColumn="0" w:lastColumn="0" w:noHBand="0" w:noVBand="0" w:val="0020"/>
      </w:tblPr>
      <w:tblGrid>
        <w:gridCol w:w="1498"/>
        <w:gridCol w:w="1498"/>
        <w:gridCol w:w="4923"/>
      </w:tblGrid>
      <w:tr>
        <w:trPr>
          <w:tblHeader w:val="on"/>
        </w:trPr>
        <w:tc>
          <w:tcPr/>
          <w:p>
            <w:pPr>
              <w:pStyle w:val="Compact"/>
            </w:pPr>
            <w:r>
              <w:t xml:space="preserve">Level</w:t>
            </w:r>
          </w:p>
        </w:tc>
        <w:tc>
          <w:tcPr/>
          <w:p>
            <w:pPr>
              <w:pStyle w:val="Compact"/>
            </w:pPr>
            <w:r>
              <w:t xml:space="preserve">Label</w:t>
            </w:r>
          </w:p>
        </w:tc>
        <w:tc>
          <w:tcPr/>
          <w:p>
            <w:pPr>
              <w:pStyle w:val="Compact"/>
            </w:pPr>
            <w:r>
              <w:t xml:space="preserve">Voix Vive Application</w:t>
            </w:r>
          </w:p>
        </w:tc>
      </w:tr>
      <w:tr>
        <w:tc>
          <w:tcPr/>
          <w:p>
            <w:pPr>
              <w:pStyle w:val="Compact"/>
            </w:pPr>
            <w:r>
              <w:t xml:space="preserve">1</w:t>
            </w:r>
          </w:p>
        </w:tc>
        <w:tc>
          <w:tcPr/>
          <w:p>
            <w:pPr>
              <w:pStyle w:val="Compact"/>
            </w:pPr>
            <w:r>
              <w:t xml:space="preserve">Reaction</w:t>
            </w:r>
          </w:p>
        </w:tc>
        <w:tc>
          <w:tcPr/>
          <w:p>
            <w:pPr>
              <w:pStyle w:val="Compact"/>
            </w:pPr>
            <w:r>
              <w:t xml:space="preserve">FHEAL journal self-reports</w:t>
            </w:r>
          </w:p>
        </w:tc>
      </w:tr>
      <w:tr>
        <w:tc>
          <w:tcPr/>
          <w:p>
            <w:pPr>
              <w:pStyle w:val="Compact"/>
            </w:pPr>
            <w:r>
              <w:t xml:space="preserve">2</w:t>
            </w:r>
          </w:p>
        </w:tc>
        <w:tc>
          <w:tcPr/>
          <w:p>
            <w:pPr>
              <w:pStyle w:val="Compact"/>
            </w:pPr>
            <w:r>
              <w:t xml:space="preserve">Learning</w:t>
            </w:r>
          </w:p>
        </w:tc>
        <w:tc>
          <w:tcPr/>
          <w:p>
            <w:pPr>
              <w:pStyle w:val="Compact"/>
            </w:pPr>
            <w:r>
              <w:t xml:space="preserve">Vertiscale and PlingTrainer telemetry</w:t>
            </w:r>
          </w:p>
        </w:tc>
      </w:tr>
      <w:tr>
        <w:tc>
          <w:tcPr/>
          <w:p>
            <w:pPr>
              <w:pStyle w:val="Compact"/>
            </w:pPr>
            <w:r>
              <w:t xml:space="preserve">3</w:t>
            </w:r>
          </w:p>
        </w:tc>
        <w:tc>
          <w:tcPr/>
          <w:p>
            <w:pPr>
              <w:pStyle w:val="Compact"/>
            </w:pPr>
            <w:r>
              <w:t xml:space="preserve">Behavior</w:t>
            </w:r>
          </w:p>
        </w:tc>
        <w:tc>
          <w:tcPr/>
          <w:p>
            <w:pPr>
              <w:pStyle w:val="Compact"/>
            </w:pPr>
            <w:r>
              <w:t xml:space="preserve">Self-initiated practice frequency via session logs</w:t>
            </w:r>
          </w:p>
        </w:tc>
      </w:tr>
      <w:tr>
        <w:tc>
          <w:tcPr/>
          <w:p>
            <w:pPr>
              <w:pStyle w:val="Compact"/>
            </w:pPr>
            <w:r>
              <w:t xml:space="preserve">4</w:t>
            </w:r>
          </w:p>
        </w:tc>
        <w:tc>
          <w:tcPr/>
          <w:p>
            <w:pPr>
              <w:pStyle w:val="Compact"/>
            </w:pPr>
            <w:r>
              <w:t xml:space="preserve">Results</w:t>
            </w:r>
          </w:p>
        </w:tc>
        <w:tc>
          <w:tcPr/>
          <w:p>
            <w:pPr>
              <w:pStyle w:val="Compact"/>
            </w:pPr>
            <w:r>
              <w:t xml:space="preserve">Instructor revenue and $0/query AI cost via local inference</w:t>
            </w:r>
          </w:p>
        </w:tc>
      </w:tr>
    </w:tbl>
    <w:bookmarkEnd w:id="12"/>
    <w:bookmarkStart w:id="13" w:name="fit-within-the-organization"/>
    <w:p>
      <w:pPr>
        <w:pStyle w:val="Heading3"/>
      </w:pPr>
      <w:r>
        <w:t xml:space="preserve">Fit Within the Organization</w:t>
      </w:r>
    </w:p>
    <w:p>
      <w:pPr>
        <w:pStyle w:val="FirstParagraph"/>
      </w:pPr>
      <w:r>
        <w:t xml:space="preserve">Voix Vive is the digital transformation of Bertrand’s teaching practice. It packages his proprietary protocols into scalable digital assets so students receive structured guidance during independent practice. The free textbook is a marketing funnel; revenue comes from coaching, feedback, and membership. Local AI inference means the studio retains 100% of digital revenue with near-zero operating costs.</w:t>
      </w:r>
    </w:p>
    <w:bookmarkEnd w:id="13"/>
    <w:bookmarkStart w:id="14" w:name="evaluation-plan"/>
    <w:p>
      <w:pPr>
        <w:pStyle w:val="Heading3"/>
      </w:pPr>
      <w:r>
        <w:t xml:space="preserve">Evaluation Plan</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Stage</w:t>
            </w:r>
          </w:p>
        </w:tc>
        <w:tc>
          <w:tcPr/>
          <w:p>
            <w:pPr>
              <w:pStyle w:val="Compact"/>
            </w:pPr>
            <w:r>
              <w:t xml:space="preserve">Timing</w:t>
            </w:r>
          </w:p>
        </w:tc>
        <w:tc>
          <w:tcPr/>
          <w:p>
            <w:pPr>
              <w:pStyle w:val="Compact"/>
            </w:pPr>
            <w:r>
              <w:t xml:space="preserve">Evaluator</w:t>
            </w:r>
          </w:p>
        </w:tc>
      </w:tr>
      <w:tr>
        <w:tc>
          <w:tcPr/>
          <w:p>
            <w:pPr>
              <w:pStyle w:val="Compact"/>
            </w:pPr>
            <w:r>
              <w:t xml:space="preserve">Technical build validation</w:t>
            </w:r>
          </w:p>
        </w:tc>
        <w:tc>
          <w:tcPr/>
          <w:p>
            <w:pPr>
              <w:pStyle w:val="Compact"/>
            </w:pPr>
            <w:r>
              <w:t xml:space="preserve">Continuous</w:t>
            </w:r>
          </w:p>
        </w:tc>
        <w:tc>
          <w:tcPr/>
          <w:p>
            <w:pPr>
              <w:pStyle w:val="Compact"/>
            </w:pPr>
            <w:r>
              <w:t xml:space="preserve">Joshua Atkinson</w:t>
            </w:r>
          </w:p>
        </w:tc>
      </w:tr>
      <w:tr>
        <w:tc>
          <w:tcPr/>
          <w:p>
            <w:pPr>
              <w:pStyle w:val="Compact"/>
            </w:pPr>
            <w:r>
              <w:t xml:space="preserve">Pedagogical alignment audit</w:t>
            </w:r>
          </w:p>
        </w:tc>
        <w:tc>
          <w:tcPr/>
          <w:p>
            <w:pPr>
              <w:pStyle w:val="Compact"/>
            </w:pPr>
            <w:r>
              <w:t xml:space="preserve">Biweekly Thursdays</w:t>
            </w:r>
          </w:p>
        </w:tc>
        <w:tc>
          <w:tcPr/>
          <w:p>
            <w:pPr>
              <w:pStyle w:val="Compact"/>
            </w:pPr>
            <w:r>
              <w:t xml:space="preserve">Bertrand Laurence (SME)</w:t>
            </w:r>
          </w:p>
        </w:tc>
      </w:tr>
      <w:tr>
        <w:tc>
          <w:tcPr/>
          <w:p>
            <w:pPr>
              <w:pStyle w:val="Compact"/>
            </w:pPr>
            <w:r>
              <w:t xml:space="preserve">UX testing with learners</w:t>
            </w:r>
          </w:p>
        </w:tc>
        <w:tc>
          <w:tcPr/>
          <w:p>
            <w:pPr>
              <w:pStyle w:val="Compact"/>
            </w:pPr>
            <w:r>
              <w:t xml:space="preserve">Weeks 4 and 7</w:t>
            </w:r>
          </w:p>
        </w:tc>
        <w:tc>
          <w:tcPr/>
          <w:p>
            <w:pPr>
              <w:pStyle w:val="Compact"/>
            </w:pPr>
            <w:r>
              <w:t xml:space="preserve">Atkinson + students</w:t>
            </w:r>
          </w:p>
        </w:tc>
      </w:tr>
      <w:tr>
        <w:tc>
          <w:tcPr/>
          <w:p>
            <w:pPr>
              <w:pStyle w:val="Compact"/>
            </w:pPr>
            <w:r>
              <w:t xml:space="preserve">Academic oversight</w:t>
            </w:r>
          </w:p>
        </w:tc>
        <w:tc>
          <w:tcPr/>
          <w:p>
            <w:pPr>
              <w:pStyle w:val="Compact"/>
            </w:pPr>
            <w:r>
              <w:t xml:space="preserve">Midterm &amp; Final</w:t>
            </w:r>
          </w:p>
        </w:tc>
        <w:tc>
          <w:tcPr/>
          <w:p>
            <w:pPr>
              <w:pStyle w:val="Compact"/>
            </w:pPr>
            <w:r>
              <w:t xml:space="preserve">Dr. Jennifer Richardson</w:t>
            </w:r>
          </w:p>
        </w:tc>
      </w:tr>
    </w:tbl>
    <w:bookmarkEnd w:id="14"/>
    <w:bookmarkStart w:id="15" w:name="student-role"/>
    <w:p>
      <w:pPr>
        <w:pStyle w:val="Heading3"/>
      </w:pPr>
      <w:r>
        <w:t xml:space="preserve">Student Role</w:t>
      </w:r>
    </w:p>
    <w:p>
      <w:pPr>
        <w:pStyle w:val="FirstParagraph"/>
      </w:pPr>
      <w:r>
        <w:t xml:space="preserve">Joshua Atkinson serves as Full-Stack Instructional Designer and Systems Architect: needs/learner analysis, curriculum writing (12 chapters), Web Audio engineering, LM Studio prompt engineering, visual systems design (CRAP), Kirkpatrick evaluation design, and business change management.</w:t>
      </w:r>
    </w:p>
    <w:bookmarkEnd w:id="15"/>
    <w:bookmarkStart w:id="16" w:name="project-supervisor"/>
    <w:p>
      <w:pPr>
        <w:pStyle w:val="Heading3"/>
      </w:pPr>
      <w:r>
        <w:t xml:space="preserve">Project Supervisor</w:t>
      </w:r>
    </w:p>
    <w:p>
      <w:pPr>
        <w:pStyle w:val="FirstParagraph"/>
      </w:pPr>
      <w:r>
        <w:rPr>
          <w:b/>
          <w:bCs/>
        </w:rPr>
        <w:t xml:space="preserve">Bertrand Laurence</w:t>
      </w:r>
      <w:r>
        <w:t xml:space="preserve"> </w:t>
      </w:r>
      <w:r>
        <w:t xml:space="preserve">— Owner, Bertrand Laurence Guitar Studio</w:t>
      </w:r>
      <w:r>
        <w:br/>
      </w:r>
      <w:r>
        <w:t xml:space="preserve">Email: bertlarrymusic@gmail.com | Phone: 617-447-5575</w:t>
      </w:r>
      <w:r>
        <w:br/>
      </w:r>
      <w:r>
        <w:t xml:space="preserve">Teaches at Passim School of Music, Cambridge, MA. Acts as SME, reviews builds biweekly, and retains full IP rights to his proprietary protocols.</w:t>
      </w:r>
    </w:p>
    <w:p>
      <w:r>
        <w:pict>
          <v:rect style="width:0;height:1.5pt" o:hralign="center" o:hrstd="t" o:hr="t"/>
        </w:pict>
      </w:r>
    </w:p>
    <w:bookmarkEnd w:id="16"/>
    <w:bookmarkEnd w:id="17"/>
    <w:bookmarkStart w:id="18" w:name="part-2-practicum-project-plan"/>
    <w:p>
      <w:pPr>
        <w:pStyle w:val="Heading2"/>
      </w:pPr>
      <w:r>
        <w:t xml:space="preserve">Part 2: Practicum Project Plan</w:t>
      </w:r>
    </w:p>
    <w:tbl>
      <w:tblPr>
        <w:tblStyle w:val="Table"/>
        <w:tblW w:type="pct" w:w="5000"/>
        <w:tblLayout w:type="fixed"/>
        <w:tblLook w:firstRow="1" w:lastRow="0" w:firstColumn="0" w:lastColumn="0" w:noHBand="0" w:noVBand="0" w:val="0020"/>
      </w:tblPr>
      <w:tblGrid>
        <w:gridCol w:w="1173"/>
        <w:gridCol w:w="2053"/>
        <w:gridCol w:w="1466"/>
        <w:gridCol w:w="3226"/>
      </w:tblGrid>
      <w:tr>
        <w:trPr>
          <w:tblHeader w:val="on"/>
        </w:trPr>
        <w:tc>
          <w:tcPr/>
          <w:p>
            <w:pPr>
              <w:pStyle w:val="Compact"/>
            </w:pPr>
            <w:r>
              <w:t xml:space="preserve">Wk</w:t>
            </w:r>
          </w:p>
        </w:tc>
        <w:tc>
          <w:tcPr/>
          <w:p>
            <w:pPr>
              <w:pStyle w:val="Compact"/>
            </w:pPr>
            <w:r>
              <w:t xml:space="preserve">Phase</w:t>
            </w:r>
          </w:p>
        </w:tc>
        <w:tc>
          <w:tcPr/>
          <w:p>
            <w:pPr>
              <w:pStyle w:val="Compact"/>
            </w:pPr>
            <w:r>
              <w:t xml:space="preserve">Hrs</w:t>
            </w:r>
          </w:p>
        </w:tc>
        <w:tc>
          <w:tcPr/>
          <w:p>
            <w:pPr>
              <w:pStyle w:val="Compact"/>
            </w:pPr>
            <w:r>
              <w:t xml:space="preserve">Key Tasks</w:t>
            </w:r>
          </w:p>
        </w:tc>
      </w:tr>
      <w:tr>
        <w:tc>
          <w:tcPr/>
          <w:p>
            <w:pPr>
              <w:pStyle w:val="Compact"/>
            </w:pPr>
            <w:r>
              <w:t xml:space="preserve">1</w:t>
            </w:r>
          </w:p>
        </w:tc>
        <w:tc>
          <w:tcPr/>
          <w:p>
            <w:pPr>
              <w:pStyle w:val="Compact"/>
            </w:pPr>
            <w:r>
              <w:t xml:space="preserve">Analysis</w:t>
            </w:r>
          </w:p>
        </w:tc>
        <w:tc>
          <w:tcPr/>
          <w:p>
            <w:pPr>
              <w:pStyle w:val="Compact"/>
            </w:pPr>
            <w:r>
              <w:t xml:space="preserve">12</w:t>
            </w:r>
          </w:p>
        </w:tc>
        <w:tc>
          <w:tcPr/>
          <w:p>
            <w:pPr>
              <w:pStyle w:val="Compact"/>
            </w:pPr>
            <w:r>
              <w:t xml:space="preserve">SME needs analysis; 12-chapter layout; repo setup; LM Studio config</w:t>
            </w:r>
          </w:p>
        </w:tc>
      </w:tr>
      <w:tr>
        <w:tc>
          <w:tcPr/>
          <w:p>
            <w:pPr>
              <w:pStyle w:val="Compact"/>
            </w:pPr>
            <w:r>
              <w:t xml:space="preserve">2</w:t>
            </w:r>
          </w:p>
        </w:tc>
        <w:tc>
          <w:tcPr/>
          <w:p>
            <w:pPr>
              <w:pStyle w:val="Compact"/>
            </w:pPr>
            <w:r>
              <w:t xml:space="preserve">Prototyping</w:t>
            </w:r>
          </w:p>
        </w:tc>
        <w:tc>
          <w:tcPr/>
          <w:p>
            <w:pPr>
              <w:pStyle w:val="Compact"/>
            </w:pPr>
            <w:r>
              <w:t xml:space="preserve">14</w:t>
            </w:r>
          </w:p>
        </w:tc>
        <w:tc>
          <w:tcPr/>
          <w:p>
            <w:pPr>
              <w:pStyle w:val="Compact"/>
            </w:pPr>
            <w:r>
              <w:t xml:space="preserve">StudioPage; i18n engine; Chapters 1–4</w:t>
            </w:r>
          </w:p>
        </w:tc>
      </w:tr>
      <w:tr>
        <w:tc>
          <w:tcPr/>
          <w:p>
            <w:pPr>
              <w:pStyle w:val="Compact"/>
            </w:pPr>
            <w:r>
              <w:t xml:space="preserve">3</w:t>
            </w:r>
          </w:p>
        </w:tc>
        <w:tc>
          <w:tcPr/>
          <w:p>
            <w:pPr>
              <w:pStyle w:val="Compact"/>
            </w:pPr>
            <w:r>
              <w:t xml:space="preserve">Core I</w:t>
            </w:r>
          </w:p>
        </w:tc>
        <w:tc>
          <w:tcPr/>
          <w:p>
            <w:pPr>
              <w:pStyle w:val="Compact"/>
            </w:pPr>
            <w:r>
              <w:t xml:space="preserve">12</w:t>
            </w:r>
          </w:p>
        </w:tc>
        <w:tc>
          <w:tcPr/>
          <w:p>
            <w:pPr>
              <w:pStyle w:val="Compact"/>
            </w:pPr>
            <w:r>
              <w:t xml:space="preserve">Web Audio engine; Vertiscale prototype; SME Review #1</w:t>
            </w:r>
          </w:p>
        </w:tc>
      </w:tr>
      <w:tr>
        <w:tc>
          <w:tcPr/>
          <w:p>
            <w:pPr>
              <w:pStyle w:val="Compact"/>
            </w:pPr>
            <w:r>
              <w:t xml:space="preserve">4</w:t>
            </w:r>
          </w:p>
        </w:tc>
        <w:tc>
          <w:tcPr/>
          <w:p>
            <w:pPr>
              <w:pStyle w:val="Compact"/>
            </w:pPr>
            <w:r>
              <w:t xml:space="preserve">Core II</w:t>
            </w:r>
          </w:p>
        </w:tc>
        <w:tc>
          <w:tcPr/>
          <w:p>
            <w:pPr>
              <w:pStyle w:val="Compact"/>
            </w:pPr>
            <w:r>
              <w:t xml:space="preserve">10</w:t>
            </w:r>
          </w:p>
        </w:tc>
        <w:tc>
          <w:tcPr/>
          <w:p>
            <w:pPr>
              <w:pStyle w:val="Compact"/>
            </w:pPr>
            <w:r>
              <w:t xml:space="preserve">PlingTrainer; Chapters 5–8; first UX test</w:t>
            </w:r>
          </w:p>
        </w:tc>
      </w:tr>
      <w:tr>
        <w:tc>
          <w:tcPr/>
          <w:p>
            <w:pPr>
              <w:pStyle w:val="Compact"/>
            </w:pPr>
            <w:r>
              <w:t xml:space="preserve">5</w:t>
            </w:r>
          </w:p>
        </w:tc>
        <w:tc>
          <w:tcPr/>
          <w:p>
            <w:pPr>
              <w:pStyle w:val="Compact"/>
            </w:pPr>
            <w:r>
              <w:t xml:space="preserve">AI Infra</w:t>
            </w:r>
          </w:p>
        </w:tc>
        <w:tc>
          <w:tcPr/>
          <w:p>
            <w:pPr>
              <w:pStyle w:val="Compact"/>
            </w:pPr>
            <w:r>
              <w:t xml:space="preserve">10</w:t>
            </w:r>
          </w:p>
        </w:tc>
        <w:tc>
          <w:tcPr/>
          <w:p>
            <w:pPr>
              <w:pStyle w:val="Compact"/>
            </w:pPr>
            <w:r>
              <w:t xml:space="preserve">LM Studio API; Socratic prompts; SME Review #2</w:t>
            </w:r>
          </w:p>
        </w:tc>
      </w:tr>
      <w:tr>
        <w:tc>
          <w:tcPr/>
          <w:p>
            <w:pPr>
              <w:pStyle w:val="Compact"/>
            </w:pPr>
            <w:r>
              <w:t xml:space="preserve">6</w:t>
            </w:r>
          </w:p>
        </w:tc>
        <w:tc>
          <w:tcPr/>
          <w:p>
            <w:pPr>
              <w:pStyle w:val="Compact"/>
            </w:pPr>
            <w:r>
              <w:t xml:space="preserve">Media</w:t>
            </w:r>
          </w:p>
        </w:tc>
        <w:tc>
          <w:tcPr/>
          <w:p>
            <w:pPr>
              <w:pStyle w:val="Compact"/>
            </w:pPr>
            <w:r>
              <w:t xml:space="preserve">8</w:t>
            </w:r>
          </w:p>
        </w:tc>
        <w:tc>
          <w:tcPr/>
          <w:p>
            <w:pPr>
              <w:pStyle w:val="Compact"/>
            </w:pPr>
            <w:r>
              <w:t xml:space="preserve">PracticeRecorder; Mentor Dashboard</w:t>
            </w:r>
          </w:p>
        </w:tc>
      </w:tr>
      <w:tr>
        <w:tc>
          <w:tcPr/>
          <w:p>
            <w:pPr>
              <w:pStyle w:val="Compact"/>
            </w:pPr>
            <w:r>
              <w:t xml:space="preserve">7</w:t>
            </w:r>
          </w:p>
        </w:tc>
        <w:tc>
          <w:tcPr/>
          <w:p>
            <w:pPr>
              <w:pStyle w:val="Compact"/>
            </w:pPr>
            <w:r>
              <w:t xml:space="preserve">Refine</w:t>
            </w:r>
          </w:p>
        </w:tc>
        <w:tc>
          <w:tcPr/>
          <w:p>
            <w:pPr>
              <w:pStyle w:val="Compact"/>
            </w:pPr>
            <w:r>
              <w:t xml:space="preserve">9</w:t>
            </w:r>
          </w:p>
        </w:tc>
        <w:tc>
          <w:tcPr/>
          <w:p>
            <w:pPr>
              <w:pStyle w:val="Compact"/>
            </w:pPr>
            <w:r>
              <w:t xml:space="preserve">Chapters 9–12; second UX test; performance review</w:t>
            </w:r>
          </w:p>
        </w:tc>
      </w:tr>
      <w:tr>
        <w:tc>
          <w:tcPr/>
          <w:p>
            <w:pPr>
              <w:pStyle w:val="Compact"/>
            </w:pPr>
            <w:r>
              <w:t xml:space="preserve">8</w:t>
            </w:r>
          </w:p>
        </w:tc>
        <w:tc>
          <w:tcPr/>
          <w:p>
            <w:pPr>
              <w:pStyle w:val="Compact"/>
            </w:pPr>
            <w:r>
              <w:t xml:space="preserve">Deploy</w:t>
            </w:r>
          </w:p>
        </w:tc>
        <w:tc>
          <w:tcPr/>
          <w:p>
            <w:pPr>
              <w:pStyle w:val="Compact"/>
            </w:pPr>
            <w:r>
              <w:t xml:space="preserve">8</w:t>
            </w:r>
          </w:p>
        </w:tc>
        <w:tc>
          <w:tcPr/>
          <w:p>
            <w:pPr>
              <w:pStyle w:val="Compact"/>
            </w:pPr>
            <w:r>
              <w:t xml:space="preserve">Production build; Stripe verification; SME handoff</w:t>
            </w:r>
          </w:p>
        </w:tc>
      </w:tr>
      <w:tr>
        <w:tc>
          <w:tcPr/>
          <w:p>
            <w:pPr>
              <w:pStyle w:val="Compact"/>
            </w:pPr>
          </w:p>
        </w:tc>
        <w:tc>
          <w:tcPr/>
          <w:p>
            <w:pPr>
              <w:pStyle w:val="Compact"/>
            </w:pPr>
            <w:r>
              <w:rPr>
                <w:b/>
                <w:bCs/>
              </w:rPr>
              <w:t xml:space="preserve">Total</w:t>
            </w:r>
          </w:p>
        </w:tc>
        <w:tc>
          <w:tcPr/>
          <w:p>
            <w:pPr>
              <w:pStyle w:val="Compact"/>
            </w:pPr>
            <w:r>
              <w:rPr>
                <w:b/>
                <w:bCs/>
              </w:rPr>
              <w:t xml:space="preserve">83</w:t>
            </w:r>
          </w:p>
        </w:tc>
        <w:tc>
          <w:tcPr/>
          <w:p>
            <w:pPr>
              <w:pStyle w:val="Compact"/>
            </w:pPr>
          </w:p>
        </w:tc>
      </w:tr>
    </w:tbl>
    <w:p>
      <w:pPr>
        <w:pStyle w:val="BodyText"/>
      </w:pPr>
      <w:r>
        <w:t xml:space="preserve">All tasks led by Joshua Atkinson; Bertrand Laurence provides SME review at Weeks 3, 5, and 8.</w:t>
      </w:r>
    </w:p>
    <w:p>
      <w:r>
        <w:pict>
          <v:rect style="width:0;height:1.5pt" o:hralign="center" o:hrstd="t" o:hr="t"/>
        </w:pict>
      </w:r>
    </w:p>
    <w:bookmarkEnd w:id="18"/>
    <w:bookmarkStart w:id="19" w:name="part-3-supervisor-sign-off"/>
    <w:p>
      <w:pPr>
        <w:pStyle w:val="Heading2"/>
      </w:pPr>
      <w:r>
        <w:t xml:space="preserve">Part 3: Supervisor Sign-Off</w:t>
      </w:r>
    </w:p>
    <w:p>
      <w:pPr>
        <w:pStyle w:val="FirstParagraph"/>
      </w:pPr>
      <w:r>
        <w:t xml:space="preserve">I, Bertrand Laurence, have reviewed this project proposal and agree to the scope, timeline, and deliverables outlined above. I understand my role as Subject Matter Expert and commit to providing pedagogical guidance, pricing decisions, and biweekly feedback during Thursday review sessions.</w:t>
      </w:r>
    </w:p>
    <w:p>
      <w:pPr>
        <w:pStyle w:val="BodyText"/>
      </w:pPr>
      <w:r>
        <w:t xml:space="preserve">Supervisor Signature: ______________________________ Date: _______________</w:t>
      </w:r>
    </w:p>
    <w:p>
      <w:pPr>
        <w:pStyle w:val="BodyText"/>
      </w:pPr>
      <w:r>
        <w:t xml:space="preserve">Printed Name: Bertrand Laurence</w:t>
      </w:r>
      <w:r>
        <w:t xml:space="preserve"> </w:t>
      </w:r>
      <w:r>
        <w:t xml:space="preserve">Position: Owner, Bertrand Laurence Guitar Studio</w:t>
      </w:r>
      <w:r>
        <w:t xml:space="preserve"> </w:t>
      </w:r>
      <w:r>
        <w:t xml:space="preserve">Email: bertlarrymusic@gmail.com | Phone: 617-447-5575</w:t>
      </w:r>
    </w:p>
    <w:p>
      <w:r>
        <w:pict>
          <v:rect style="width:0;height:1.5pt" o:hralign="center" o:hrstd="t" o:hr="t"/>
        </w:pict>
      </w:r>
    </w:p>
    <w:p>
      <w:pPr>
        <w:pStyle w:val="FirstParagraph"/>
      </w:pPr>
      <w:r>
        <w:rPr>
          <w:b/>
          <w:bCs/>
        </w:rPr>
        <w:t xml:space="preserve">Course Instructor:</w:t>
      </w:r>
      <w:r>
        <w:t xml:space="preserve"> </w:t>
      </w:r>
      <w:r>
        <w:t xml:space="preserve">Dr. Jennifer Richardson — EDCI 57300 Practicum, Purdue University</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2026-05-30T01:42:43Z</dcterms:created>
  <dcterms:modified xsi:type="dcterms:W3CDTF">2026-05-30T01:42:43Z</dcterms:modified>
</cp:coreProperties>
</file>

<file path=docProps/custom.xml><?xml version="1.0" encoding="utf-8"?>
<Properties xmlns="http://schemas.openxmlformats.org/officeDocument/2006/custom-properties" xmlns:vt="http://schemas.openxmlformats.org/officeDocument/2006/docPropsVTypes"/>
</file>