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10FB5" w14:textId="7CA582A4" w:rsidR="00BF1CBE" w:rsidRPr="00463314" w:rsidRDefault="00BF1CBE" w:rsidP="00BF1CBE">
      <w:pPr>
        <w:wordWrap/>
        <w:snapToGrid w:val="0"/>
        <w:spacing w:after="0" w:line="360" w:lineRule="auto"/>
        <w:ind w:leftChars="100" w:left="200" w:firstLineChars="200" w:firstLine="440"/>
        <w:textAlignment w:val="center"/>
        <w:rPr>
          <w:rFonts w:ascii="Times New Roman" w:eastAsia="한양신명조" w:hAnsi="Times New Roman" w:cs="Times New Roman"/>
          <w:kern w:val="0"/>
          <w:sz w:val="22"/>
        </w:rPr>
      </w:pPr>
      <w:r w:rsidRPr="00463314">
        <w:rPr>
          <w:rFonts w:ascii="Times New Roman" w:eastAsia="한양신명조" w:hAnsi="Times New Roman" w:cs="Times New Roman"/>
          <w:kern w:val="0"/>
          <w:sz w:val="22"/>
        </w:rPr>
        <w:t>Ground-coupled heat pump systems are environmentally friendly when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compared with existing heating and cooling equipment because 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it is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emit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ting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relatively low amount of greenhouse gases such as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carbon dioxide.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Geothermal heat pump system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,</w:t>
      </w:r>
      <w:proofErr w:type="gramEnd"/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 is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also being recognized as renewable energy sources that can significantly decrease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d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energy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of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building sector. Lund and Boyd revealed that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;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between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82 countries that appl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>ies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the </w:t>
      </w:r>
      <w:r w:rsidRPr="00BF1CBE">
        <w:rPr>
          <w:rFonts w:ascii="Times New Roman" w:eastAsia="한양신명조" w:hAnsi="Times New Roman" w:cs="Times New Roman"/>
          <w:kern w:val="0"/>
          <w:sz w:val="22"/>
        </w:rPr>
        <w:t>direct use of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the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geothermal energy, 43 have distributed geothermal heat pump systems. Based on the 2014 </w:t>
      </w:r>
      <w:proofErr w:type="gramStart"/>
      <w:r>
        <w:rPr>
          <w:rFonts w:ascii="Times New Roman" w:eastAsia="한양신명조" w:hAnsi="Times New Roman" w:cs="Times New Roman"/>
          <w:kern w:val="0"/>
          <w:sz w:val="22"/>
        </w:rPr>
        <w:t xml:space="preserve">data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,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the global geothermal heat pump installation capacity is approximately 49.9 </w:t>
      </w:r>
      <w:proofErr w:type="spellStart"/>
      <w:r w:rsidRPr="00463314">
        <w:rPr>
          <w:rFonts w:ascii="Times New Roman" w:eastAsia="한양신명조" w:hAnsi="Times New Roman" w:cs="Times New Roman"/>
          <w:kern w:val="0"/>
          <w:sz w:val="22"/>
        </w:rPr>
        <w:t>GWth</w:t>
      </w:r>
      <w:proofErr w:type="spell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, which is 50.8% increase </w:t>
      </w:r>
      <w:r w:rsidR="005D1C14">
        <w:rPr>
          <w:rFonts w:ascii="Times New Roman" w:eastAsia="한양신명조" w:hAnsi="Times New Roman" w:cs="Times New Roman"/>
          <w:kern w:val="0"/>
          <w:sz w:val="22"/>
        </w:rPr>
        <w:t xml:space="preserve">on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comparison to year 2010 (33.1 </w:t>
      </w:r>
      <w:proofErr w:type="spellStart"/>
      <w:r w:rsidRPr="00463314">
        <w:rPr>
          <w:rFonts w:ascii="Times New Roman" w:eastAsia="한양신명조" w:hAnsi="Times New Roman" w:cs="Times New Roman"/>
          <w:kern w:val="0"/>
          <w:sz w:val="22"/>
        </w:rPr>
        <w:t>GWth</w:t>
      </w:r>
      <w:proofErr w:type="spell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). </w:t>
      </w:r>
    </w:p>
    <w:p w14:paraId="4BF46121" w14:textId="50386C16" w:rsidR="00BF1CBE" w:rsidRPr="00463314" w:rsidRDefault="00BF1CBE" w:rsidP="00BF1CBE">
      <w:pPr>
        <w:wordWrap/>
        <w:snapToGrid w:val="0"/>
        <w:spacing w:after="0" w:line="360" w:lineRule="auto"/>
        <w:ind w:leftChars="100" w:left="200" w:firstLineChars="200" w:firstLine="440"/>
        <w:textAlignment w:val="center"/>
        <w:rPr>
          <w:rFonts w:ascii="Times New Roman" w:eastAsia="한양신명조" w:hAnsi="Times New Roman" w:cs="Times New Roman"/>
          <w:kern w:val="0"/>
          <w:sz w:val="22"/>
        </w:rPr>
      </w:pP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Among the various types of geothermal heat pump systems, borehole ground heat exchanger is most commonly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used .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When the heating and cooling energy load of the building studied achieves balance the geothermal system has significant effect. Conversely in cooling-dominated building, the system’s performance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 xml:space="preserve">is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decreases because vertical ground heat exchanger (</w:t>
      </w:r>
      <w:proofErr w:type="spellStart"/>
      <w:r w:rsidRPr="00463314">
        <w:rPr>
          <w:rFonts w:ascii="Times New Roman" w:eastAsia="한양신명조" w:hAnsi="Times New Roman" w:cs="Times New Roman"/>
          <w:kern w:val="0"/>
          <w:sz w:val="22"/>
        </w:rPr>
        <w:t>VGHE</w:t>
      </w:r>
      <w:proofErr w:type="spell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) circulating water temperature continuously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risen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. Meanwhile, in heating-dominated buildings the opposite phenomenon of cooling occurs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;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which is the reason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system’s heating performance decreases.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A hybrid ground-coupled heat pump system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,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is being recognized as an alternative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on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this.</w:t>
      </w:r>
    </w:p>
    <w:p w14:paraId="793F08AD" w14:textId="6CB8A403" w:rsidR="00BF1CBE" w:rsidRPr="00463314" w:rsidRDefault="00BF1CBE" w:rsidP="00BF1CBE">
      <w:pPr>
        <w:wordWrap/>
        <w:snapToGrid w:val="0"/>
        <w:spacing w:after="0" w:line="360" w:lineRule="auto"/>
        <w:ind w:leftChars="100" w:left="200" w:firstLineChars="200" w:firstLine="440"/>
        <w:textAlignment w:val="center"/>
        <w:rPr>
          <w:rFonts w:ascii="Times New Roman" w:eastAsia="한양신명조" w:hAnsi="Times New Roman" w:cs="Times New Roman"/>
          <w:kern w:val="0"/>
          <w:sz w:val="22"/>
        </w:rPr>
      </w:pP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Hybrid geothermal heat pump systems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are considered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to reduce initial construction costs, while simultaneously maintaining stable system performance. This system uses auxiliary heat sources (boiler and solar power) or auxiliary heat sink (surface water) in same manner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to</w:t>
      </w:r>
      <w:r w:rsidRPr="00BF1CBE">
        <w:rPr>
          <w:rFonts w:ascii="Times New Roman" w:eastAsia="한양신명조" w:hAnsi="Times New Roman" w:cs="Times New Roman"/>
          <w:kern w:val="0"/>
          <w:sz w:val="22"/>
        </w:rPr>
        <w:t xml:space="preserve"> a primary heat source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. Ground temperature (or ground circulating water temperature) can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be balanced</w:t>
      </w:r>
      <w:proofErr w:type="gramEnd"/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by connecting these types of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 xml:space="preserve">the 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auxiliary equipment. When constructing geothermal system, it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is normally matched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to whichever side</w:t>
      </w:r>
      <w:r w:rsidR="007B2015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of heating and cooling load</w:t>
      </w:r>
      <w:r w:rsidR="007B2015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that </w:t>
      </w:r>
      <w:r w:rsidR="007B2015">
        <w:rPr>
          <w:rFonts w:ascii="Times New Roman" w:eastAsia="한양신명조" w:hAnsi="Times New Roman" w:cs="Times New Roman"/>
          <w:kern w:val="0"/>
          <w:sz w:val="22"/>
        </w:rPr>
        <w:t>was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larger, and a ground heat exchanger is constructed. Thus, one side </w:t>
      </w:r>
      <w:r w:rsidR="007B2015">
        <w:rPr>
          <w:rFonts w:ascii="Times New Roman" w:eastAsia="한양신명조" w:hAnsi="Times New Roman" w:cs="Times New Roman"/>
          <w:kern w:val="0"/>
          <w:sz w:val="22"/>
        </w:rPr>
        <w:t>having the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higher load</w:t>
      </w:r>
      <w:r w:rsidR="007B2015">
        <w:rPr>
          <w:rFonts w:ascii="Times New Roman" w:eastAsia="한양신명조" w:hAnsi="Times New Roman" w:cs="Times New Roman"/>
          <w:kern w:val="0"/>
          <w:sz w:val="22"/>
        </w:rPr>
        <w:t>,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than necessary. Cooling-dominated buildings install ground heat exchangers to match heating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>load, and</w:t>
      </w:r>
      <w:proofErr w:type="gramEnd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can process the insufficient cooling load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by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 surface water.</w:t>
      </w:r>
    </w:p>
    <w:p w14:paraId="023CBEF3" w14:textId="02790A38" w:rsidR="00BF1CBE" w:rsidRPr="00463314" w:rsidRDefault="007B2015" w:rsidP="00BF1CBE">
      <w:pPr>
        <w:wordWrap/>
        <w:snapToGrid w:val="0"/>
        <w:spacing w:after="0" w:line="360" w:lineRule="auto"/>
        <w:ind w:leftChars="100" w:left="200" w:firstLineChars="200" w:firstLine="440"/>
        <w:textAlignment w:val="center"/>
        <w:rPr>
          <w:rFonts w:ascii="Times New Roman" w:eastAsia="Gulim" w:hAnsi="Times New Roman" w:cs="Times New Roman"/>
          <w:kern w:val="0"/>
          <w:sz w:val="22"/>
        </w:rPr>
      </w:pPr>
      <w:r>
        <w:rPr>
          <w:rFonts w:ascii="Times New Roman" w:eastAsia="한양신명조" w:hAnsi="Times New Roman" w:cs="Times New Roman"/>
          <w:kern w:val="0"/>
          <w:sz w:val="22"/>
        </w:rPr>
        <w:t>This p</w:t>
      </w:r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resent thesis analyz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>ing</w:t>
      </w:r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the effect </w:t>
      </w:r>
      <w:r w:rsidR="00BC60C7">
        <w:rPr>
          <w:rFonts w:ascii="Times New Roman" w:eastAsia="한양신명조" w:hAnsi="Times New Roman" w:cs="Times New Roman"/>
          <w:kern w:val="0"/>
          <w:sz w:val="22"/>
        </w:rPr>
        <w:t xml:space="preserve">by </w:t>
      </w:r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surface water heat exchanger (</w:t>
      </w:r>
      <w:proofErr w:type="spellStart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SWHE</w:t>
      </w:r>
      <w:proofErr w:type="spellEnd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) design parameters on length of heat exchanger pipes. This study applied </w:t>
      </w:r>
      <w:bookmarkStart w:id="0" w:name="_GoBack"/>
      <w:bookmarkEnd w:id="0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effectiveness-</w:t>
      </w:r>
      <w:proofErr w:type="spellStart"/>
      <w:r w:rsidR="00BF1CBE">
        <w:rPr>
          <w:rFonts w:ascii="Times New Roman" w:eastAsia="한양신명조" w:hAnsi="Times New Roman" w:cs="Times New Roman"/>
          <w:kern w:val="0"/>
          <w:sz w:val="22"/>
        </w:rPr>
        <w:t>NTU</w:t>
      </w:r>
      <w:proofErr w:type="spellEnd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method, one of the typical heat exchange design techniques, and used existing heat transfer correlation. The present study was limited to shallow </w:t>
      </w:r>
      <w:proofErr w:type="gramStart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ponds, and</w:t>
      </w:r>
      <w:proofErr w:type="gramEnd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considered pond temperature and pipe specifications as design parameters. Next, this study </w:t>
      </w:r>
      <w:proofErr w:type="gramStart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analyze</w:t>
      </w:r>
      <w:proofErr w:type="gramEnd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the application effect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of </w:t>
      </w:r>
      <w:proofErr w:type="spellStart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SWHE</w:t>
      </w:r>
      <w:proofErr w:type="spellEnd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and </w:t>
      </w:r>
      <w:proofErr w:type="spellStart"/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>VGHE</w:t>
      </w:r>
      <w:proofErr w:type="spellEnd"/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="00BF1CBE" w:rsidRPr="00463314">
        <w:rPr>
          <w:rFonts w:ascii="Times New Roman" w:eastAsia="한양신명조" w:hAnsi="Times New Roman" w:cs="Times New Roman"/>
          <w:kern w:val="0"/>
          <w:sz w:val="22"/>
        </w:rPr>
        <w:t xml:space="preserve"> after assuming that they are used together. </w:t>
      </w:r>
    </w:p>
    <w:p w14:paraId="655B80AC" w14:textId="7B132F72" w:rsidR="00580DE7" w:rsidRPr="00463314" w:rsidRDefault="00580DE7" w:rsidP="00580DE7">
      <w:pPr>
        <w:spacing w:after="0" w:line="384" w:lineRule="auto"/>
        <w:ind w:firstLineChars="100" w:firstLine="220"/>
        <w:textAlignment w:val="baseline"/>
        <w:rPr>
          <w:rFonts w:ascii="Times New Roman" w:eastAsia="한양신명조" w:hAnsi="Times New Roman" w:cs="Times New Roman"/>
          <w:kern w:val="0"/>
          <w:sz w:val="22"/>
        </w:rPr>
      </w:pPr>
      <w:bookmarkStart w:id="1" w:name="_Hlk69135030"/>
      <w:r w:rsidRPr="00463314">
        <w:rPr>
          <w:rFonts w:ascii="Times New Roman" w:eastAsia="한양신명조" w:hAnsi="Times New Roman" w:cs="Times New Roman"/>
          <w:kern w:val="0"/>
          <w:sz w:val="22"/>
        </w:rPr>
        <w:t>The conclusions are as follows.</w:t>
      </w:r>
    </w:p>
    <w:p w14:paraId="026445A4" w14:textId="1A9579A4" w:rsidR="00580DE7" w:rsidRPr="00463314" w:rsidRDefault="00580DE7" w:rsidP="00580DE7">
      <w:pPr>
        <w:spacing w:after="0" w:line="384" w:lineRule="auto"/>
        <w:ind w:firstLineChars="100" w:firstLine="220"/>
        <w:textAlignment w:val="baseline"/>
        <w:rPr>
          <w:rFonts w:ascii="Times New Roman" w:eastAsia="한양신명조" w:hAnsi="Times New Roman" w:cs="Times New Roman"/>
          <w:kern w:val="0"/>
          <w:sz w:val="22"/>
        </w:rPr>
      </w:pPr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(1) More heat exchanger pipes </w:t>
      </w:r>
      <w:proofErr w:type="gramStart"/>
      <w:r w:rsidRPr="00463314">
        <w:rPr>
          <w:rFonts w:ascii="Times New Roman" w:eastAsia="한양신명조" w:hAnsi="Times New Roman" w:cs="Times New Roman"/>
          <w:kern w:val="0"/>
          <w:sz w:val="22"/>
        </w:rPr>
        <w:t xml:space="preserve">are </w:t>
      </w:r>
      <w:r w:rsidRPr="00580DE7">
        <w:rPr>
          <w:rFonts w:ascii="Times New Roman" w:eastAsia="한양신명조" w:hAnsi="Times New Roman" w:cs="Times New Roman"/>
          <w:kern w:val="0"/>
          <w:sz w:val="22"/>
        </w:rPr>
        <w:t>needed</w:t>
      </w:r>
      <w:proofErr w:type="gramEnd"/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580DE7">
        <w:rPr>
          <w:rFonts w:ascii="Times New Roman" w:eastAsia="한양신명조" w:hAnsi="Times New Roman" w:cs="Times New Roman"/>
          <w:kern w:val="0"/>
          <w:sz w:val="22"/>
        </w:rPr>
        <w:t xml:space="preserve"> the closer the </w:t>
      </w:r>
      <w:proofErr w:type="spellStart"/>
      <w:r w:rsidRPr="00580DE7">
        <w:rPr>
          <w:rFonts w:ascii="Times New Roman" w:eastAsia="한양신명조" w:hAnsi="Times New Roman" w:cs="Times New Roman"/>
          <w:kern w:val="0"/>
          <w:sz w:val="22"/>
        </w:rPr>
        <w:t>SWHE</w:t>
      </w:r>
      <w:proofErr w:type="spellEnd"/>
      <w:r w:rsidRPr="00580DE7">
        <w:rPr>
          <w:rFonts w:ascii="Times New Roman" w:eastAsia="한양신명조" w:hAnsi="Times New Roman" w:cs="Times New Roman"/>
          <w:kern w:val="0"/>
          <w:sz w:val="22"/>
        </w:rPr>
        <w:t xml:space="preserve"> outlet temperature approaches 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 xml:space="preserve">to </w:t>
      </w:r>
      <w:r w:rsidRPr="00580DE7">
        <w:rPr>
          <w:rFonts w:ascii="Times New Roman" w:eastAsia="한양신명조" w:hAnsi="Times New Roman" w:cs="Times New Roman"/>
          <w:kern w:val="0"/>
          <w:sz w:val="22"/>
        </w:rPr>
        <w:t>pond water temperature</w:t>
      </w:r>
      <w:r w:rsidRPr="00463314">
        <w:rPr>
          <w:rFonts w:ascii="Times New Roman" w:eastAsia="한양신명조" w:hAnsi="Times New Roman" w:cs="Times New Roman"/>
          <w:kern w:val="0"/>
          <w:sz w:val="22"/>
        </w:rPr>
        <w:t>.</w:t>
      </w:r>
    </w:p>
    <w:p w14:paraId="5BD0616B" w14:textId="2B9B5319" w:rsidR="00580DE7" w:rsidRPr="00463314" w:rsidRDefault="00580DE7" w:rsidP="003E0EC8">
      <w:pPr>
        <w:spacing w:after="0" w:line="384" w:lineRule="auto"/>
        <w:ind w:firstLineChars="100" w:firstLine="220"/>
        <w:textAlignment w:val="baseline"/>
        <w:rPr>
          <w:rFonts w:ascii="Times New Roman" w:eastAsia="한양신명조" w:hAnsi="Times New Roman" w:cs="Times New Roman"/>
          <w:kern w:val="0"/>
          <w:sz w:val="22"/>
        </w:rPr>
      </w:pPr>
      <w:r w:rsidRPr="003E0EC8">
        <w:rPr>
          <w:rFonts w:ascii="Times New Roman" w:eastAsia="한양신명조" w:hAnsi="Times New Roman" w:cs="Times New Roman"/>
          <w:kern w:val="0"/>
          <w:sz w:val="22"/>
        </w:rPr>
        <w:t>(2) Length somewhat decreases the larger the outside diameter is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of the heat exchanger pipe. However, there was virtually no outside diameter effect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when outlet temperature is higher than approximately 29</w:t>
      </w:r>
      <w:r w:rsidRPr="003E0EC8">
        <w:rPr>
          <w:rFonts w:ascii="Times New Roman" w:eastAsia="한양신명조" w:hAnsi="Times New Roman" w:cs="Times New Roman" w:hint="eastAsia"/>
          <w:kern w:val="0"/>
          <w:sz w:val="22"/>
        </w:rPr>
        <w:t>℃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>.</w:t>
      </w:r>
    </w:p>
    <w:p w14:paraId="64363298" w14:textId="61AE6DFC" w:rsidR="00580DE7" w:rsidRPr="003E0EC8" w:rsidRDefault="00580DE7" w:rsidP="003E0EC8">
      <w:pPr>
        <w:spacing w:after="0" w:line="384" w:lineRule="auto"/>
        <w:ind w:firstLineChars="100" w:firstLine="220"/>
        <w:textAlignment w:val="baseline"/>
        <w:rPr>
          <w:rFonts w:ascii="Times New Roman" w:eastAsia="한양신명조" w:hAnsi="Times New Roman" w:cs="Times New Roman"/>
          <w:kern w:val="0"/>
          <w:sz w:val="22"/>
        </w:rPr>
      </w:pPr>
      <w:r w:rsidRPr="003E0EC8">
        <w:rPr>
          <w:rFonts w:ascii="Times New Roman" w:eastAsia="한양신명조" w:hAnsi="Times New Roman" w:cs="Times New Roman"/>
          <w:kern w:val="0"/>
          <w:sz w:val="22"/>
        </w:rPr>
        <w:lastRenderedPageBreak/>
        <w:t>(3) Pipe length decreases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when </w:t>
      </w:r>
      <w:proofErr w:type="spellStart"/>
      <w:r w:rsidRPr="003E0EC8">
        <w:rPr>
          <w:rFonts w:ascii="Times New Roman" w:eastAsia="한양신명조" w:hAnsi="Times New Roman" w:cs="Times New Roman"/>
          <w:kern w:val="0"/>
          <w:sz w:val="22"/>
        </w:rPr>
        <w:t>SDR</w:t>
      </w:r>
      <w:proofErr w:type="spellEnd"/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value is large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because thermal resistance, which effects 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 xml:space="preserve">to 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>heat transfer, decrease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d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>.</w:t>
      </w:r>
    </w:p>
    <w:p w14:paraId="6D0AAE84" w14:textId="3FACC35A" w:rsidR="0042472C" w:rsidRPr="003E0EC8" w:rsidRDefault="00580DE7" w:rsidP="003E0EC8">
      <w:pPr>
        <w:spacing w:after="0" w:line="384" w:lineRule="auto"/>
        <w:ind w:firstLineChars="100" w:firstLine="220"/>
        <w:textAlignment w:val="baseline"/>
        <w:rPr>
          <w:rFonts w:ascii="Times New Roman" w:eastAsia="한양신명조" w:hAnsi="Times New Roman" w:cs="Times New Roman"/>
          <w:kern w:val="0"/>
          <w:sz w:val="22"/>
        </w:rPr>
      </w:pPr>
      <w:r w:rsidRPr="003E0EC8">
        <w:rPr>
          <w:rFonts w:ascii="Times New Roman" w:eastAsia="한양신명조" w:hAnsi="Times New Roman" w:cs="Times New Roman"/>
          <w:kern w:val="0"/>
          <w:sz w:val="22"/>
        </w:rPr>
        <w:t>(4) In a state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>,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where cooling design </w:t>
      </w:r>
      <w:r w:rsidR="00756A95">
        <w:rPr>
          <w:rFonts w:ascii="Times New Roman" w:eastAsia="한양신명조" w:hAnsi="Times New Roman" w:cs="Times New Roman"/>
          <w:kern w:val="0"/>
          <w:sz w:val="22"/>
        </w:rPr>
        <w:t>entering source temperature (EST)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</w:t>
      </w:r>
      <w:proofErr w:type="gramStart"/>
      <w:r w:rsidRPr="003E0EC8">
        <w:rPr>
          <w:rFonts w:ascii="Times New Roman" w:eastAsia="한양신명조" w:hAnsi="Times New Roman" w:cs="Times New Roman"/>
          <w:kern w:val="0"/>
          <w:sz w:val="22"/>
        </w:rPr>
        <w:t>is fixed</w:t>
      </w:r>
      <w:proofErr w:type="gramEnd"/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, </w:t>
      </w:r>
      <w:proofErr w:type="spellStart"/>
      <w:r w:rsidRPr="003E0EC8">
        <w:rPr>
          <w:rFonts w:ascii="Times New Roman" w:eastAsia="한양신명조" w:hAnsi="Times New Roman" w:cs="Times New Roman"/>
          <w:kern w:val="0"/>
          <w:sz w:val="22"/>
        </w:rPr>
        <w:t>VGHE</w:t>
      </w:r>
      <w:proofErr w:type="spellEnd"/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 length can be reduced if </w:t>
      </w:r>
      <w:r w:rsidR="003E0EC8">
        <w:rPr>
          <w:rFonts w:ascii="Times New Roman" w:eastAsia="한양신명조" w:hAnsi="Times New Roman" w:cs="Times New Roman"/>
          <w:kern w:val="0"/>
          <w:sz w:val="22"/>
        </w:rPr>
        <w:t xml:space="preserve">it will be </w:t>
      </w:r>
      <w:r w:rsidRPr="003E0EC8">
        <w:rPr>
          <w:rFonts w:ascii="Times New Roman" w:eastAsia="한양신명조" w:hAnsi="Times New Roman" w:cs="Times New Roman"/>
          <w:kern w:val="0"/>
          <w:sz w:val="22"/>
        </w:rPr>
        <w:t xml:space="preserve">used together with </w:t>
      </w:r>
      <w:proofErr w:type="spellStart"/>
      <w:r w:rsidRPr="003E0EC8">
        <w:rPr>
          <w:rFonts w:ascii="Times New Roman" w:eastAsia="한양신명조" w:hAnsi="Times New Roman" w:cs="Times New Roman"/>
          <w:kern w:val="0"/>
          <w:sz w:val="22"/>
        </w:rPr>
        <w:t>SWHE</w:t>
      </w:r>
      <w:proofErr w:type="spellEnd"/>
      <w:r w:rsidRPr="003E0EC8">
        <w:rPr>
          <w:rFonts w:ascii="Times New Roman" w:eastAsia="한양신명조" w:hAnsi="Times New Roman" w:cs="Times New Roman"/>
          <w:kern w:val="0"/>
          <w:sz w:val="22"/>
        </w:rPr>
        <w:t>.</w:t>
      </w:r>
      <w:bookmarkEnd w:id="1"/>
    </w:p>
    <w:sectPr w:rsidR="0042472C" w:rsidRPr="003E0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한양신명조">
    <w:altName w:val="Malgun Gothic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04EDB"/>
    <w:multiLevelType w:val="hybridMultilevel"/>
    <w:tmpl w:val="D6226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BE"/>
    <w:rsid w:val="00114BCF"/>
    <w:rsid w:val="002D5099"/>
    <w:rsid w:val="00363DB4"/>
    <w:rsid w:val="003E0EC8"/>
    <w:rsid w:val="0042472C"/>
    <w:rsid w:val="00580DE7"/>
    <w:rsid w:val="005D1C14"/>
    <w:rsid w:val="00756A95"/>
    <w:rsid w:val="007B2015"/>
    <w:rsid w:val="00882F70"/>
    <w:rsid w:val="009C78FE"/>
    <w:rsid w:val="00BC60C7"/>
    <w:rsid w:val="00BF1CBE"/>
    <w:rsid w:val="00CD6097"/>
    <w:rsid w:val="00D877E9"/>
    <w:rsid w:val="00F9480E"/>
    <w:rsid w:val="00F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C875"/>
  <w15:chartTrackingRefBased/>
  <w15:docId w15:val="{A1111D60-7A95-42AA-B876-83ACDC7A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CBE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F1CB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CBE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CBE"/>
    <w:rPr>
      <w:rFonts w:eastAsiaTheme="minorEastAsia"/>
      <w:kern w:val="2"/>
      <w:sz w:val="24"/>
      <w:szCs w:val="24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C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CBE"/>
    <w:rPr>
      <w:rFonts w:ascii="Segoe UI" w:eastAsiaTheme="minorEastAsia" w:hAnsi="Segoe UI" w:cs="Segoe UI"/>
      <w:kern w:val="2"/>
      <w:sz w:val="18"/>
      <w:szCs w:val="18"/>
      <w:lang w:val="en-US" w:eastAsia="ko-KR"/>
    </w:rPr>
  </w:style>
  <w:style w:type="paragraph" w:styleId="Revision">
    <w:name w:val="Revision"/>
    <w:hidden/>
    <w:uiPriority w:val="99"/>
    <w:semiHidden/>
    <w:rsid w:val="00BF1CBE"/>
    <w:pPr>
      <w:spacing w:after="0" w:line="240" w:lineRule="auto"/>
    </w:pPr>
    <w:rPr>
      <w:rFonts w:eastAsiaTheme="minorEastAsia"/>
      <w:kern w:val="2"/>
      <w:sz w:val="20"/>
      <w:lang w:val="en-US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A9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A95"/>
    <w:rPr>
      <w:rFonts w:eastAsiaTheme="minorEastAsia"/>
      <w:b/>
      <w:bCs/>
      <w:kern w:val="2"/>
      <w:sz w:val="20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4</cp:revision>
  <dcterms:created xsi:type="dcterms:W3CDTF">2021-04-12T10:41:00Z</dcterms:created>
  <dcterms:modified xsi:type="dcterms:W3CDTF">2021-04-12T11:38:00Z</dcterms:modified>
</cp:coreProperties>
</file>