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2400"/>
        <w:gridCol w:w="2400"/>
        <w:gridCol w:w="2400"/>
        <w:gridCol w:w="2400"/>
        <w:gridCol w:w="2400"/>
        <w:gridCol w:w="2400"/>
      </w:tblGrid>
      <w:tr>
        <w:tc>
          <w:tcPr>
            <w:tcW w:type="dxa" w:w="4380"/>
            <w:gridSpan w:val="2"/>
            <w:shd w:val="clear" w:color="auto" w:fill="6d9eeb"/>
          </w:tcPr>
          <w:p>
            <w:pPr>
              <w:jc w:val="left"/>
            </w:pPr>
            <w:r/>
            <w:r>
              <w:rPr>
                <w:b/>
                <w:sz w:val="22"/>
              </w:rPr>
              <w:t>Teacher: Josh Cole</w:t>
            </w:r>
          </w:p>
        </w:tc>
        <w:tc>
          <w:tcPr>
            <w:tcW w:type="dxa" w:w="4884"/>
            <w:gridSpan w:val="2"/>
            <w:shd w:val="clear" w:color="auto" w:fill="6d9eeb"/>
          </w:tcPr>
          <w:p>
            <w:pPr>
              <w:jc w:val="left"/>
            </w:pPr>
            <w:r/>
            <w:r>
              <w:rPr>
                <w:b/>
                <w:sz w:val="22"/>
              </w:rPr>
              <w:t>Subject: AP Language &amp; Composition</w:t>
            </w:r>
          </w:p>
        </w:tc>
        <w:tc>
          <w:tcPr>
            <w:tcW w:type="dxa" w:w="4884"/>
            <w:gridSpan w:val="2"/>
            <w:shd w:val="clear" w:color="auto" w:fill="6d9eeb"/>
          </w:tcPr>
          <w:p>
            <w:pPr>
              <w:jc w:val="left"/>
            </w:pPr>
            <w:r/>
            <w:r>
              <w:rPr>
                <w:b/>
                <w:sz w:val="22"/>
              </w:rPr>
              <w:t>Week: Week 02 — Aug 10-14, 2026</w:t>
            </w:r>
          </w:p>
        </w:tc>
      </w:tr>
      <w:tr>
        <w:tc>
          <w:tcPr>
            <w:tcW w:type="dxa" w:w="1980"/>
            <w:shd w:val="clear" w:color="auto" w:fill="6d9eeb"/>
          </w:tcPr>
          <w:p>
            <w:pPr>
              <w:jc w:val="left"/>
            </w:pPr>
            <w:r/>
            <w:r>
              <w:rPr>
                <w:b/>
                <w:sz w:val="22"/>
              </w:rPr>
              <w:t>Period(s): 3rd period (AP Language &amp; Composition)</w:t>
            </w:r>
          </w:p>
        </w:tc>
        <w:tc>
          <w:tcPr>
            <w:tcW w:type="dxa" w:w="2484"/>
            <w:shd w:val="clear" w:color="auto" w:fill="6d9eeb"/>
          </w:tcPr>
          <w:p>
            <w:pPr>
              <w:jc w:val="left"/>
            </w:pPr>
            <w:r/>
            <w:r>
              <w:rPr>
                <w:b/>
                <w:sz w:val="22"/>
              </w:rPr>
              <w:t>Monday</w:t>
            </w:r>
          </w:p>
        </w:tc>
        <w:tc>
          <w:tcPr>
            <w:tcW w:type="dxa" w:w="2484"/>
            <w:shd w:val="clear" w:color="auto" w:fill="6d9eeb"/>
          </w:tcPr>
          <w:p>
            <w:pPr>
              <w:jc w:val="left"/>
            </w:pPr>
            <w:r/>
            <w:r>
              <w:rPr>
                <w:b/>
                <w:sz w:val="22"/>
              </w:rPr>
              <w:t>Tuesday</w:t>
            </w:r>
          </w:p>
        </w:tc>
        <w:tc>
          <w:tcPr>
            <w:tcW w:type="dxa" w:w="2484"/>
            <w:shd w:val="clear" w:color="auto" w:fill="6d9eeb"/>
          </w:tcPr>
          <w:p>
            <w:pPr>
              <w:jc w:val="left"/>
            </w:pPr>
            <w:r/>
            <w:r>
              <w:rPr>
                <w:b/>
                <w:sz w:val="22"/>
              </w:rPr>
              <w:t>Wednesday</w:t>
            </w:r>
          </w:p>
        </w:tc>
        <w:tc>
          <w:tcPr>
            <w:tcW w:type="dxa" w:w="2484"/>
            <w:shd w:val="clear" w:color="auto" w:fill="6d9eeb"/>
          </w:tcPr>
          <w:p>
            <w:pPr>
              <w:jc w:val="left"/>
            </w:pPr>
            <w:r/>
            <w:r>
              <w:rPr>
                <w:b/>
                <w:sz w:val="22"/>
              </w:rPr>
              <w:t>Thursday</w:t>
            </w:r>
          </w:p>
        </w:tc>
        <w:tc>
          <w:tcPr>
            <w:tcW w:type="dxa" w:w="2484"/>
            <w:shd w:val="clear" w:color="auto" w:fill="6d9eeb"/>
          </w:tcPr>
          <w:p>
            <w:pPr>
              <w:jc w:val="left"/>
            </w:pPr>
            <w:r/>
            <w:r>
              <w:rPr>
                <w:b/>
                <w:sz w:val="22"/>
              </w:rPr>
              <w:t>Friday</w:t>
            </w:r>
          </w:p>
        </w:tc>
      </w:tr>
      <w:tr>
        <w:tc>
          <w:tcPr>
            <w:tcW w:type="dxa" w:w="1980"/>
            <w:shd w:val="clear" w:color="auto" w:fill="6d9eeb"/>
          </w:tcPr>
          <w:p>
            <w:pPr>
              <w:jc w:val="left"/>
            </w:pPr>
            <w:r/>
            <w:r>
              <w:rPr>
                <w:b/>
                <w:sz w:val="22"/>
              </w:rPr>
              <w:t>Learning Targets:</w:t>
            </w:r>
          </w:p>
        </w:tc>
        <w:tc>
          <w:tcPr>
            <w:tcW w:type="dxa" w:w="2484"/>
            <w:shd w:val="clear" w:color="auto" w:fill="FFFFFF"/>
          </w:tcPr>
          <w:p>
            <w:pPr>
              <w:jc w:val="left"/>
            </w:pPr>
            <w:r/>
            <w:r>
              <w:rPr>
                <w:b w:val="0"/>
                <w:sz w:val="22"/>
              </w:rPr>
              <w:t>I can describe the rhetorical situation of a text using SPACE CAT.</w:t>
            </w:r>
          </w:p>
        </w:tc>
        <w:tc>
          <w:tcPr>
            <w:tcW w:type="dxa" w:w="2484"/>
            <w:shd w:val="clear" w:color="auto" w:fill="FFFFFF"/>
          </w:tcPr>
          <w:p>
            <w:pPr>
              <w:jc w:val="left"/>
            </w:pPr>
            <w:r/>
            <w:r>
              <w:rPr>
                <w:b w:val="0"/>
                <w:sz w:val="22"/>
              </w:rPr>
              <w:t>I can analyze how diction and detail create tone.</w:t>
            </w:r>
          </w:p>
        </w:tc>
        <w:tc>
          <w:tcPr>
            <w:tcW w:type="dxa" w:w="2484"/>
            <w:shd w:val="clear" w:color="auto" w:fill="FFFFFF"/>
          </w:tcPr>
          <w:p>
            <w:pPr>
              <w:jc w:val="left"/>
            </w:pPr>
            <w:r/>
            <w:r>
              <w:rPr>
                <w:b w:val="0"/>
                <w:sz w:val="22"/>
              </w:rPr>
              <w:t>I can transfer rhetorical-analysis skills to an unfamiliar passage.</w:t>
            </w:r>
          </w:p>
        </w:tc>
        <w:tc>
          <w:tcPr>
            <w:tcW w:type="dxa" w:w="2484"/>
            <w:shd w:val="clear" w:color="auto" w:fill="FFFFFF"/>
          </w:tcPr>
          <w:p>
            <w:pPr>
              <w:jc w:val="left"/>
            </w:pPr>
            <w:r/>
            <w:r>
              <w:rPr>
                <w:b w:val="0"/>
                <w:sz w:val="22"/>
              </w:rPr>
              <w:t>I can write a full rhetorical-analysis essay under timed conditions.</w:t>
            </w:r>
          </w:p>
        </w:tc>
        <w:tc>
          <w:tcPr>
            <w:tcW w:type="dxa" w:w="2484"/>
            <w:shd w:val="clear" w:color="auto" w:fill="FFFFFF"/>
          </w:tcPr>
          <w:p>
            <w:pPr>
              <w:jc w:val="left"/>
            </w:pPr>
            <w:r/>
            <w:r>
              <w:rPr>
                <w:b w:val="0"/>
                <w:sz w:val="22"/>
              </w:rPr>
              <w:t>I can evaluate an essay against the 1-6 rubric and reflect on my own writing.</w:t>
            </w:r>
          </w:p>
        </w:tc>
      </w:tr>
      <w:tr>
        <w:tc>
          <w:tcPr>
            <w:tcW w:type="dxa" w:w="1980"/>
            <w:shd w:val="clear" w:color="auto" w:fill="6d9eeb"/>
          </w:tcPr>
          <w:p>
            <w:pPr>
              <w:jc w:val="left"/>
            </w:pPr>
            <w:r/>
            <w:r>
              <w:rPr>
                <w:b/>
                <w:sz w:val="22"/>
              </w:rPr>
              <w:t>Standards:</w:t>
            </w:r>
          </w:p>
        </w:tc>
        <w:tc>
          <w:tcPr>
            <w:tcW w:type="dxa" w:w="2484"/>
            <w:shd w:val="clear" w:color="auto" w:fill="FFFFFF"/>
          </w:tcPr>
          <w:p>
            <w:pPr>
              <w:jc w:val="left"/>
            </w:pPr>
            <w:r/>
            <w:r>
              <w:rPr>
                <w:b w:val="0"/>
                <w:sz w:val="22"/>
              </w:rPr>
              <w:t>2.A -- Describe the rhetorical situation</w:t>
            </w:r>
          </w:p>
        </w:tc>
        <w:tc>
          <w:tcPr>
            <w:tcW w:type="dxa" w:w="2484"/>
            <w:shd w:val="clear" w:color="auto" w:fill="FFFFFF"/>
          </w:tcPr>
          <w:p>
            <w:pPr>
              <w:jc w:val="left"/>
            </w:pPr>
            <w:r/>
            <w:r>
              <w:rPr>
                <w:b w:val="0"/>
                <w:sz w:val="22"/>
              </w:rPr>
              <w:t>2.B -- Demonstrate a command of grammar and style</w:t>
            </w:r>
          </w:p>
        </w:tc>
        <w:tc>
          <w:tcPr>
            <w:tcW w:type="dxa" w:w="2484"/>
            <w:shd w:val="clear" w:color="auto" w:fill="FFFFFF"/>
          </w:tcPr>
          <w:p>
            <w:pPr>
              <w:jc w:val="left"/>
            </w:pPr>
            <w:r/>
            <w:r>
              <w:rPr>
                <w:b w:val="0"/>
                <w:sz w:val="22"/>
              </w:rPr>
              <w:t>2.A -- Describe the rhetorical situation; 2.B -- Demonstrate a command of grammar and style</w:t>
            </w:r>
          </w:p>
        </w:tc>
        <w:tc>
          <w:tcPr>
            <w:tcW w:type="dxa" w:w="2484"/>
            <w:shd w:val="clear" w:color="auto" w:fill="FFFFFF"/>
          </w:tcPr>
          <w:p>
            <w:pPr>
              <w:jc w:val="left"/>
            </w:pPr>
            <w:r/>
            <w:r>
              <w:rPr>
                <w:b w:val="0"/>
                <w:sz w:val="22"/>
              </w:rPr>
              <w:t>4.A -- Develop a thesis that conveys a defensible claim; 4.C -- Build a coherent line of reasoning; 6.A -- Demonstrate sophistication of thought</w:t>
            </w:r>
          </w:p>
        </w:tc>
        <w:tc>
          <w:tcPr>
            <w:tcW w:type="dxa" w:w="2484"/>
            <w:shd w:val="clear" w:color="auto" w:fill="FFFFFF"/>
          </w:tcPr>
          <w:p>
            <w:pPr>
              <w:jc w:val="left"/>
            </w:pPr>
            <w:r/>
            <w:r>
              <w:rPr>
                <w:b w:val="0"/>
                <w:sz w:val="22"/>
              </w:rPr>
              <w:t>6.A -- Demonstrate sophistication of thought</w:t>
            </w:r>
          </w:p>
        </w:tc>
      </w:tr>
      <w:tr>
        <w:tc>
          <w:tcPr>
            <w:tcW w:type="dxa" w:w="1980"/>
            <w:shd w:val="clear" w:color="auto" w:fill="6d9eeb"/>
          </w:tcPr>
          <w:p>
            <w:pPr>
              <w:jc w:val="left"/>
            </w:pPr>
            <w:r/>
            <w:r>
              <w:rPr>
                <w:b/>
                <w:sz w:val="22"/>
              </w:rPr>
              <w:t>ACT Alignment:</w:t>
            </w:r>
          </w:p>
        </w:tc>
        <w:tc>
          <w:tcPr>
            <w:tcW w:type="dxa" w:w="2484"/>
            <w:shd w:val="clear" w:color="auto" w:fill="FFFFFF"/>
          </w:tcPr>
          <w:p>
            <w:pPr>
              <w:jc w:val="left"/>
            </w:pPr>
            <w:r/>
            <w:r>
              <w:rPr>
                <w:b w:val="0"/>
                <w:sz w:val="22"/>
              </w:rPr>
              <w:t>CLR 501 -- Describe the rhetorical situation (ACT Reading equivalent of AP 2.A, per the course's AP/ACT crosswalk)</w:t>
            </w:r>
          </w:p>
        </w:tc>
        <w:tc>
          <w:tcPr>
            <w:tcW w:type="dxa" w:w="2484"/>
            <w:shd w:val="clear" w:color="auto" w:fill="FFFFFF"/>
          </w:tcPr>
          <w:p>
            <w:pPr>
              <w:jc w:val="left"/>
            </w:pPr>
            <w:r/>
            <w:r>
              <w:rPr>
                <w:b w:val="0"/>
                <w:sz w:val="22"/>
              </w:rPr>
              <w:t>KLA 402 -- Revise expressions that deviate from the style and tone of the essay; USG 305 -- Use the appropriate word in frequently confused pairs (e.g., there and their, past and passed, led and lead)</w:t>
            </w:r>
          </w:p>
        </w:tc>
        <w:tc>
          <w:tcPr>
            <w:tcW w:type="dxa" w:w="2484"/>
            <w:shd w:val="clear" w:color="auto" w:fill="FFFFFF"/>
          </w:tcPr>
          <w:p>
            <w:pPr>
              <w:jc w:val="left"/>
            </w:pPr>
            <w:r/>
            <w:r>
              <w:rPr>
                <w:b w:val="0"/>
                <w:sz w:val="22"/>
              </w:rPr>
              <w:t>ORG 502 -- Provide a fairly straightforward introduction or conclusion to or transition within a paragraph or essay; SST 501 -- Recognize and correct disturbances in sentence structure (e.g., faulty placement of phrases, faulty coordination and subordination of clauses)</w:t>
            </w:r>
          </w:p>
        </w:tc>
        <w:tc>
          <w:tcPr>
            <w:tcW w:type="dxa" w:w="2484"/>
            <w:shd w:val="clear" w:color="auto" w:fill="FFFFFF"/>
          </w:tcPr>
          <w:p>
            <w:pPr>
              <w:jc w:val="left"/>
            </w:pPr>
            <w:r/>
            <w:r>
              <w:rPr>
                <w:b w:val="0"/>
                <w:sz w:val="22"/>
              </w:rPr>
              <w:t>TOD 503 -- Determine whether an essay has met a specified goal; ORG 602 -- Determine the most logical place for a sentence in a fairly complex essay</w:t>
            </w:r>
          </w:p>
        </w:tc>
        <w:tc>
          <w:tcPr>
            <w:tcW w:type="dxa" w:w="2484"/>
            <w:shd w:val="clear" w:color="auto" w:fill="FFFFFF"/>
          </w:tcPr>
          <w:p>
            <w:pPr>
              <w:jc w:val="left"/>
            </w:pPr>
            <w:r/>
            <w:r>
              <w:rPr>
                <w:b w:val="0"/>
                <w:sz w:val="22"/>
              </w:rPr>
              <w:t>TOD 601 -- Determine relevance when considering material that is plausible but potentially irrelevant at a given point in the essay</w:t>
            </w:r>
          </w:p>
        </w:tc>
      </w:tr>
      <w:tr>
        <w:tc>
          <w:tcPr>
            <w:tcW w:type="dxa" w:w="1980"/>
            <w:shd w:val="clear" w:color="auto" w:fill="6d9eeb"/>
          </w:tcPr>
          <w:p>
            <w:pPr>
              <w:jc w:val="left"/>
            </w:pPr>
            <w:r/>
            <w:r>
              <w:rPr>
                <w:b/>
                <w:sz w:val="22"/>
              </w:rPr>
              <w:t>Engagement Strategy: (required)</w:t>
            </w:r>
          </w:p>
        </w:tc>
        <w:tc>
          <w:tcPr>
            <w:tcW w:type="dxa" w:w="2484"/>
            <w:shd w:val="clear" w:color="auto" w:fill="FFFFFF"/>
          </w:tcPr>
          <w:p>
            <w:pPr>
              <w:jc w:val="left"/>
            </w:pPr>
            <w:r/>
            <w:sdt>
              <w:sdtPr>
                <w:alias w:val="Engagement Strategy"/>
                <w:id w:val="-1823567251"/>
                <w:dropDownList w:lastValue="Think/Pair/Share, Cold Call">
                  <w:listItem w:displayText="Cold Call" w:value="Cold Call"/>
                  <w:listItem w:displayText="Equity Sticks" w:value="Equity Sticks"/>
                  <w:listItem w:displayText="Think/Pair/Share" w:value="Think/Pair/Share"/>
                  <w:listItem w:displayText="Small Groups" w:value="Small Groups"/>
                  <w:listItem w:displayText="A/B Partners" w:value="A/B Partners"/>
                  <w:listItem w:displayText="Write 1st, Talk 2nd" w:value="Write 1st, Talk 2nd"/>
                  <w:listItem w:displayText="Gallery Walk" w:value="Gallery Walk"/>
                  <w:listItem w:displayText="Rally Coach" w:value="Rally Coach"/>
                </w:dropDownList>
              </w:sdtPr>
              <w:sdtContent>
                <w:r>
                  <w:rPr>
                    <w:color w:val="000000"/>
                    <w:shd w:fill="e8eaed" w:val="clear"/>
                  </w:rPr>
                  <w:t xml:space="preserve">Think/Pair/Share, Cold Call</w:t>
                </w:r>
              </w:sdtContent>
            </w:sdt>
          </w:p>
        </w:tc>
        <w:tc>
          <w:tcPr>
            <w:tcW w:type="dxa" w:w="2484"/>
            <w:shd w:val="clear" w:color="auto" w:fill="FFFFFF"/>
          </w:tcPr>
          <w:p>
            <w:pPr>
              <w:jc w:val="left"/>
            </w:pPr>
            <w:r/>
            <w:sdt>
              <w:sdtPr>
                <w:alias w:val="Engagement Strategy"/>
                <w:id w:val="-1823567250"/>
                <w:dropDownList w:lastValue="Small Groups">
                  <w:listItem w:displayText="Cold Call" w:value="Cold Call"/>
                  <w:listItem w:displayText="Equity Sticks" w:value="Equity Sticks"/>
                  <w:listItem w:displayText="Think/Pair/Share" w:value="Think/Pair/Share"/>
                  <w:listItem w:displayText="Small Groups" w:value="Small Groups"/>
                  <w:listItem w:displayText="A/B Partners" w:value="A/B Partners"/>
                  <w:listItem w:displayText="Write 1st, Talk 2nd" w:value="Write 1st, Talk 2nd"/>
                  <w:listItem w:displayText="Gallery Walk" w:value="Gallery Walk"/>
                  <w:listItem w:displayText="Rally Coach" w:value="Rally Coach"/>
                </w:dropDownList>
              </w:sdtPr>
              <w:sdtContent>
                <w:r>
                  <w:rPr>
                    <w:color w:val="000000"/>
                    <w:shd w:fill="e8eaed" w:val="clear"/>
                  </w:rPr>
                  <w:t xml:space="preserve">Small Groups</w:t>
                </w:r>
              </w:sdtContent>
            </w:sdt>
          </w:p>
        </w:tc>
        <w:tc>
          <w:tcPr>
            <w:tcW w:type="dxa" w:w="2484"/>
            <w:shd w:val="clear" w:color="auto" w:fill="FFFFFF"/>
          </w:tcPr>
          <w:p>
            <w:pPr>
              <w:jc w:val="left"/>
            </w:pPr>
            <w:r/>
            <w:sdt>
              <w:sdtPr>
                <w:alias w:val="Engagement Strategy"/>
                <w:id w:val="-1823567249"/>
                <w:dropDownList w:lastValue="Rally Coach">
                  <w:listItem w:displayText="Cold Call" w:value="Cold Call"/>
                  <w:listItem w:displayText="Equity Sticks" w:value="Equity Sticks"/>
                  <w:listItem w:displayText="Think/Pair/Share" w:value="Think/Pair/Share"/>
                  <w:listItem w:displayText="Small Groups" w:value="Small Groups"/>
                  <w:listItem w:displayText="A/B Partners" w:value="A/B Partners"/>
                  <w:listItem w:displayText="Write 1st, Talk 2nd" w:value="Write 1st, Talk 2nd"/>
                  <w:listItem w:displayText="Gallery Walk" w:value="Gallery Walk"/>
                  <w:listItem w:displayText="Rally Coach" w:value="Rally Coach"/>
                </w:dropDownList>
              </w:sdtPr>
              <w:sdtContent>
                <w:r>
                  <w:rPr>
                    <w:color w:val="000000"/>
                    <w:shd w:fill="e8eaed" w:val="clear"/>
                  </w:rPr>
                  <w:t xml:space="preserve">Rally Coach</w:t>
                </w:r>
              </w:sdtContent>
            </w:sdt>
          </w:p>
        </w:tc>
        <w:tc>
          <w:tcPr>
            <w:tcW w:type="dxa" w:w="2484"/>
            <w:shd w:val="clear" w:color="auto" w:fill="FFFFFF"/>
          </w:tcPr>
          <w:p>
            <w:pPr>
              <w:jc w:val="left"/>
            </w:pPr>
            <w:r/>
            <w:sdt>
              <w:sdtPr>
                <w:alias w:val="Engagement Strategy"/>
                <w:id w:val="-1823567248"/>
                <w:dropDownList w:lastValue="A/B Partners">
                  <w:listItem w:displayText="Cold Call" w:value="Cold Call"/>
                  <w:listItem w:displayText="Equity Sticks" w:value="Equity Sticks"/>
                  <w:listItem w:displayText="Think/Pair/Share" w:value="Think/Pair/Share"/>
                  <w:listItem w:displayText="Small Groups" w:value="Small Groups"/>
                  <w:listItem w:displayText="A/B Partners" w:value="A/B Partners"/>
                  <w:listItem w:displayText="Write 1st, Talk 2nd" w:value="Write 1st, Talk 2nd"/>
                  <w:listItem w:displayText="Gallery Walk" w:value="Gallery Walk"/>
                  <w:listItem w:displayText="Rally Coach" w:value="Rally Coach"/>
                </w:dropDownList>
              </w:sdtPr>
              <w:sdtContent>
                <w:r>
                  <w:rPr>
                    <w:color w:val="000000"/>
                    <w:shd w:fill="e8eaed" w:val="clear"/>
                  </w:rPr>
                  <w:t xml:space="preserve">A/B Partners</w:t>
                </w:r>
              </w:sdtContent>
            </w:sdt>
          </w:p>
        </w:tc>
        <w:tc>
          <w:tcPr>
            <w:tcW w:type="dxa" w:w="2484"/>
            <w:shd w:val="clear" w:color="auto" w:fill="FFFFFF"/>
          </w:tcPr>
          <w:p>
            <w:pPr>
              <w:jc w:val="left"/>
            </w:pPr>
            <w:r/>
            <w:sdt>
              <w:sdtPr>
                <w:alias w:val="Engagement Strategy"/>
                <w:id w:val="-1823567247"/>
                <w:dropDownList w:lastValue="Gallery Walk">
                  <w:listItem w:displayText="Cold Call" w:value="Cold Call"/>
                  <w:listItem w:displayText="Equity Sticks" w:value="Equity Sticks"/>
                  <w:listItem w:displayText="Think/Pair/Share" w:value="Think/Pair/Share"/>
                  <w:listItem w:displayText="Small Groups" w:value="Small Groups"/>
                  <w:listItem w:displayText="A/B Partners" w:value="A/B Partners"/>
                  <w:listItem w:displayText="Write 1st, Talk 2nd" w:value="Write 1st, Talk 2nd"/>
                  <w:listItem w:displayText="Gallery Walk" w:value="Gallery Walk"/>
                  <w:listItem w:displayText="Rally Coach" w:value="Rally Coach"/>
                </w:dropDownList>
              </w:sdtPr>
              <w:sdtContent>
                <w:r>
                  <w:rPr>
                    <w:color w:val="000000"/>
                    <w:shd w:fill="e8eaed" w:val="clear"/>
                  </w:rPr>
                  <w:t xml:space="preserve">Gallery Walk</w:t>
                </w:r>
              </w:sdtContent>
            </w:sdt>
          </w:p>
        </w:tc>
      </w:tr>
      <w:tr>
        <w:tc>
          <w:tcPr>
            <w:tcW w:type="dxa" w:w="1980"/>
            <w:shd w:val="clear" w:color="auto" w:fill="6d9eeb"/>
          </w:tcPr>
          <w:p>
            <w:pPr>
              <w:jc w:val="left"/>
            </w:pPr>
            <w:r/>
            <w:r>
              <w:rPr>
                <w:b/>
                <w:sz w:val="22"/>
              </w:rPr>
              <w:t>Lesson:</w:t>
            </w:r>
          </w:p>
        </w:tc>
        <w:tc>
          <w:tcPr>
            <w:tcW w:type="dxa" w:w="2484"/>
            <w:shd w:val="clear" w:color="auto" w:fill="FFFFFF"/>
          </w:tcPr>
          <w:p>
            <w:r/>
            <w:r>
              <w:rPr>
                <w:b/>
                <w:sz w:val="22"/>
              </w:rPr>
              <w:t>Do Now:</w:t>
            </w:r>
          </w:p>
          <w:p>
            <w:r>
              <w:rPr>
                <w:b w:val="0"/>
                <w:sz w:val="22"/>
              </w:rPr>
              <w:t>Cold-read the first paragraph of A Rose for Emily and write one sentence on the narrator's attitude toward Emily.</w:t>
            </w:r>
          </w:p>
          <w:p>
            <w:r>
              <w:rPr>
                <w:b w:val="0"/>
                <w:sz w:val="22"/>
              </w:rPr>
            </w:r>
          </w:p>
          <w:p>
            <w:r>
              <w:rPr>
                <w:b/>
                <w:sz w:val="22"/>
              </w:rPr>
              <w:t>During:</w:t>
            </w:r>
          </w:p>
          <w:p>
            <w:r>
              <w:rPr>
                <w:b w:val="0"/>
                <w:sz w:val="22"/>
              </w:rPr>
              <w:t>Model SPACE CAT on paragraph 1, thinking aloud through Speaker, Purpose, Audience, Context, Exigence, and Tone. Groups then take an assigned section of the opening and complete SPACE CAT together, with me circulating to check for the most common misread (Context vs. Exigence). Groups share out one element each to build a whole-class organizer on the board. Students then individually write a 4-sentence rhetorical-situation summary of the full opening, using their group's notes and the board organizer as a scaffold.</w:t>
            </w:r>
          </w:p>
          <w:p>
            <w:r>
              <w:rPr>
                <w:b w:val="0"/>
                <w:sz w:val="22"/>
              </w:rPr>
            </w:r>
          </w:p>
          <w:p>
            <w:r>
              <w:rPr>
                <w:b/>
                <w:sz w:val="22"/>
              </w:rPr>
              <w:t>Assessment:</w:t>
            </w:r>
          </w:p>
          <w:p>
            <w:r>
              <w:rPr>
                <w:b w:val="0"/>
                <w:sz w:val="22"/>
              </w:rPr>
              <w:t>Completed SPACE CAT organizer + 4-sentence rhetorical-situation summary.</w:t>
            </w:r>
          </w:p>
        </w:tc>
        <w:tc>
          <w:tcPr>
            <w:tcW w:type="dxa" w:w="2484"/>
            <w:shd w:val="clear" w:color="auto" w:fill="FFFFFF"/>
          </w:tcPr>
          <w:p>
            <w:r/>
            <w:r>
              <w:rPr>
                <w:b/>
                <w:sz w:val="22"/>
              </w:rPr>
              <w:t>Do Now:</w:t>
            </w:r>
          </w:p>
          <w:p>
            <w:r>
              <w:rPr>
                <w:b w:val="0"/>
                <w:sz w:val="22"/>
              </w:rPr>
              <w:t>List three words from yesterday's reading that carry a strong connotation.</w:t>
            </w:r>
          </w:p>
          <w:p>
            <w:r>
              <w:rPr>
                <w:b w:val="0"/>
                <w:sz w:val="22"/>
              </w:rPr>
            </w:r>
          </w:p>
          <w:p>
            <w:r>
              <w:rPr>
                <w:b/>
                <w:sz w:val="22"/>
              </w:rPr>
              <w:t>During:</w:t>
            </w:r>
          </w:p>
          <w:p>
            <w:r>
              <w:rPr>
                <w:b w:val="0"/>
                <w:sz w:val="22"/>
              </w:rPr>
              <w:t>Model DIDLS (Diction, Imagery, Details, Language, Syntax) on a key passage describing Emily's house, narrating the reasoning behind each tonal call. Groups then annotate a second passage collaboratively for DIDLS, flagging at least two word choices with strong connotation and naming the tone those choices build. Each group briefly justifies one flagged choice to the class. Students close by individually writing one paragraph explaining how diction shapes tone in the passage they annotated.</w:t>
            </w:r>
          </w:p>
          <w:p>
            <w:r>
              <w:rPr>
                <w:b w:val="0"/>
                <w:sz w:val="22"/>
              </w:rPr>
            </w:r>
          </w:p>
          <w:p>
            <w:r>
              <w:rPr>
                <w:b/>
                <w:sz w:val="22"/>
              </w:rPr>
              <w:t>Assessment:</w:t>
            </w:r>
          </w:p>
          <w:p>
            <w:r>
              <w:rPr>
                <w:b w:val="0"/>
                <w:sz w:val="22"/>
              </w:rPr>
              <w:t>DIDLS annotation + one analysis paragraph.</w:t>
            </w:r>
          </w:p>
        </w:tc>
        <w:tc>
          <w:tcPr>
            <w:tcW w:type="dxa" w:w="2484"/>
            <w:shd w:val="clear" w:color="auto" w:fill="FFFFFF"/>
          </w:tcPr>
          <w:p>
            <w:r/>
            <w:r>
              <w:rPr>
                <w:b/>
                <w:sz w:val="22"/>
              </w:rPr>
              <w:t>Do Now:</w:t>
            </w:r>
          </w:p>
          <w:p>
            <w:r>
              <w:rPr>
                <w:b w:val="0"/>
                <w:sz w:val="22"/>
              </w:rPr>
              <w:t>Predict the speaker's purpose from the passage's title and first line.</w:t>
            </w:r>
          </w:p>
          <w:p>
            <w:r>
              <w:rPr>
                <w:b w:val="0"/>
                <w:sz w:val="22"/>
              </w:rPr>
            </w:r>
          </w:p>
          <w:p>
            <w:r>
              <w:rPr>
                <w:b/>
                <w:sz w:val="22"/>
              </w:rPr>
              <w:t>During:</w:t>
            </w:r>
          </w:p>
          <w:p>
            <w:r>
              <w:rPr>
                <w:b w:val="0"/>
                <w:sz w:val="22"/>
              </w:rPr>
              <w:t>Walk through the released FRQ 2 nonfiction passage's structure, showing how the same SPACE CAT and DIDLS moves from this week apply to unfamiliar text. In rally-coach pairs, students alternate annotating sentences of the passage, coaching each other through purpose and tone calls in real time. Once annotation is done, pairs work through an MCQ practice set on the passage together, discussing disagreements before locking in an answer.</w:t>
            </w:r>
          </w:p>
          <w:p>
            <w:r>
              <w:rPr>
                <w:b w:val="0"/>
                <w:sz w:val="22"/>
              </w:rPr>
            </w:r>
          </w:p>
          <w:p>
            <w:r>
              <w:rPr>
                <w:b/>
                <w:sz w:val="22"/>
              </w:rPr>
              <w:t>Assessment:</w:t>
            </w:r>
          </w:p>
          <w:p>
            <w:r>
              <w:rPr>
                <w:b w:val="0"/>
                <w:sz w:val="22"/>
              </w:rPr>
              <w:t>Completed MCQ practice set with annotated passage.</w:t>
            </w:r>
          </w:p>
        </w:tc>
        <w:tc>
          <w:tcPr>
            <w:tcW w:type="dxa" w:w="2484"/>
            <w:shd w:val="clear" w:color="auto" w:fill="FFFFFF"/>
          </w:tcPr>
          <w:p>
            <w:r/>
            <w:r>
              <w:rPr>
                <w:b/>
                <w:sz w:val="22"/>
              </w:rPr>
              <w:t>Do Now:</w:t>
            </w:r>
          </w:p>
          <w:p>
            <w:r>
              <w:rPr>
                <w:b w:val="0"/>
                <w:sz w:val="22"/>
              </w:rPr>
              <w:t>Draft a one-sentence defensible thesis for the FRQ 2 passage.</w:t>
            </w:r>
          </w:p>
          <w:p>
            <w:r>
              <w:rPr>
                <w:b w:val="0"/>
                <w:sz w:val="22"/>
              </w:rPr>
            </w:r>
          </w:p>
          <w:p>
            <w:r>
              <w:rPr>
                <w:b/>
                <w:sz w:val="22"/>
              </w:rPr>
              <w:t>During:</w:t>
            </w:r>
          </w:p>
          <w:p>
            <w:r>
              <w:rPr>
                <w:b w:val="0"/>
                <w:sz w:val="22"/>
              </w:rPr>
              <w:t>Briefly review thesis and line-of-reasoning expectations against the AP rubric. In A/B partner pairs, students each read their partner's draft thesis for two minutes and flag whether it's defensible and specific enough. Students then write a full 35-minute timed rhetorical-analysis essay on the FRQ 2 passage under AP conditions, working independently for the remainder of the period.</w:t>
            </w:r>
          </w:p>
          <w:p>
            <w:r>
              <w:rPr>
                <w:b w:val="0"/>
                <w:sz w:val="22"/>
              </w:rPr>
            </w:r>
          </w:p>
          <w:p>
            <w:r>
              <w:rPr>
                <w:b/>
                <w:sz w:val="22"/>
              </w:rPr>
              <w:t>Assessment:</w:t>
            </w:r>
          </w:p>
          <w:p>
            <w:r>
              <w:rPr>
                <w:b w:val="0"/>
                <w:sz w:val="22"/>
              </w:rPr>
              <w:t>Full timed rhetorical-analysis essay, scored on the 1-6 AP rubric.</w:t>
            </w:r>
          </w:p>
        </w:tc>
        <w:tc>
          <w:tcPr>
            <w:tcW w:type="dxa" w:w="2484"/>
            <w:shd w:val="clear" w:color="auto" w:fill="FFFFFF"/>
          </w:tcPr>
          <w:p>
            <w:r/>
            <w:r>
              <w:rPr>
                <w:b/>
                <w:sz w:val="22"/>
              </w:rPr>
              <w:t>Do Now:</w:t>
            </w:r>
          </w:p>
          <w:p>
            <w:r>
              <w:rPr>
                <w:b w:val="0"/>
                <w:sz w:val="22"/>
              </w:rPr>
              <w:t>Write down one strength and one goal from yesterday's essay.</w:t>
            </w:r>
          </w:p>
          <w:p>
            <w:r>
              <w:rPr>
                <w:b w:val="0"/>
                <w:sz w:val="22"/>
              </w:rPr>
            </w:r>
          </w:p>
          <w:p>
            <w:r>
              <w:rPr>
                <w:b/>
                <w:sz w:val="22"/>
              </w:rPr>
              <w:t>During:</w:t>
            </w:r>
          </w:p>
          <w:p>
            <w:r>
              <w:rPr>
                <w:b w:val="0"/>
                <w:sz w:val="22"/>
              </w:rPr>
              <w:t>Model rubric scoring on an anonymized anchor paper, narrating what separates a 4 from a 5. Essays are posted gallery-walk style; students rotate through several papers, scoring each against the 1-6 rubric and leaving one specific piece of feedback per stop. Students then return to their own essay, read the feedback left on it, and write their Columnist Journal entry #2 reflecting on their SPACE CAT/DIDLS process and one concrete revision goal.</w:t>
            </w:r>
          </w:p>
          <w:p>
            <w:r>
              <w:rPr>
                <w:b w:val="0"/>
                <w:sz w:val="22"/>
              </w:rPr>
            </w:r>
          </w:p>
          <w:p>
            <w:r>
              <w:rPr>
                <w:b/>
                <w:sz w:val="22"/>
              </w:rPr>
              <w:t>Assessment:</w:t>
            </w:r>
          </w:p>
          <w:p>
            <w:r>
              <w:rPr>
                <w:b w:val="0"/>
                <w:sz w:val="22"/>
              </w:rPr>
              <w:t>Peer rubric-scoring notes + Columnist Journal entry #2.</w:t>
            </w:r>
          </w:p>
        </w:tc>
      </w:tr>
    </w:tbl>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