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</w:t>
      </w:r>
      <w:r>
        <w:rPr>
          <w:rtl w:val="0"/>
          <w:lang w:val="pt-PT"/>
        </w:rPr>
        <w:t xml:space="preserve"> Experimento A/B </w:t>
      </w:r>
      <w:r>
        <w:rPr>
          <w:rtl w:val="0"/>
        </w:rPr>
        <w:t xml:space="preserve">– </w:t>
      </w:r>
      <w:r>
        <w:rPr>
          <w:rtl w:val="0"/>
          <w:lang w:val="en-US"/>
        </w:rPr>
        <w:t>Electronics</w:t>
      </w:r>
    </w:p>
    <w:p>
      <w:pPr>
        <w:pStyle w:val="Heading 2"/>
      </w:pPr>
      <w:r>
        <w:rPr>
          <w:rtl w:val="0"/>
          <w:lang w:val="es-ES_tradnl"/>
        </w:rPr>
        <w:t>1. Contexto y Objetivo</w:t>
      </w:r>
    </w:p>
    <w:p>
      <w:pPr>
        <w:pStyle w:val="Body"/>
      </w:pPr>
      <w:r>
        <w:rPr>
          <w:rtl w:val="0"/>
          <w:lang w:val="es-ES_tradnl"/>
        </w:rPr>
        <w:t>El experimento busca validar si una estrategia de pricing sensible a la elasticidad de los productos, combinada con una campa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de retargeting a clientes inactivos, puede recuperar revenue sin afectar negativamente el volumen ni la tasa de recompra en la categor</w:t>
      </w:r>
      <w:r>
        <w:rPr>
          <w:rtl w:val="0"/>
        </w:rPr>
        <w:t>í</w:t>
      </w:r>
      <w:r>
        <w:rPr>
          <w:rtl w:val="0"/>
          <w:lang w:val="es-ES_tradnl"/>
        </w:rPr>
        <w:t>a de Electronics para los vendors V001 y V003.</w:t>
      </w:r>
    </w:p>
    <w:p>
      <w:pPr>
        <w:pStyle w:val="Heading 2"/>
      </w:pPr>
      <w:r>
        <w:rPr>
          <w:rtl w:val="0"/>
        </w:rPr>
        <w:t>2. Dise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Experimental</w:t>
      </w:r>
    </w:p>
    <w:p>
      <w:pPr>
        <w:pStyle w:val="Body"/>
      </w:pPr>
      <w:r>
        <w:rPr>
          <w:rtl w:val="0"/>
          <w:lang w:val="es-ES_tradnl"/>
        </w:rPr>
        <w:t>Se seleccionaron 82 clientes inactivos por m</w:t>
      </w:r>
      <w:r>
        <w:rPr>
          <w:rtl w:val="0"/>
        </w:rPr>
        <w:t>á</w:t>
      </w:r>
      <w:r>
        <w:rPr>
          <w:rtl w:val="0"/>
          <w:lang w:val="pt-PT"/>
        </w:rPr>
        <w:t>s de 35 d</w:t>
      </w:r>
      <w:r>
        <w:rPr>
          <w:rtl w:val="0"/>
        </w:rPr>
        <w:t>í</w:t>
      </w:r>
      <w:r>
        <w:rPr>
          <w:rtl w:val="0"/>
          <w:lang w:val="es-ES_tradnl"/>
        </w:rPr>
        <w:t>as que hayan comprado previamente a V001 o V003. Estos fueron asignados aleatoriamente en dos grupos balanceados: 41 clientes en Control y 41 en Tratamiento.</w:t>
      </w:r>
    </w:p>
    <w:p>
      <w:pPr>
        <w:pStyle w:val="Body"/>
      </w:pPr>
      <w:r>
        <w:rPr>
          <w:rtl w:val="0"/>
          <w:lang w:val="es-ES_tradnl"/>
        </w:rPr>
        <w:t>Se utilizaron productos E193 y E179, clasificados como inel</w:t>
      </w:r>
      <w:r>
        <w:rPr>
          <w:rtl w:val="0"/>
        </w:rPr>
        <w:t>á</w:t>
      </w:r>
      <w:r>
        <w:rPr>
          <w:rtl w:val="0"/>
          <w:lang w:val="es-ES_tradnl"/>
        </w:rPr>
        <w:t>sticos (elasticidad entre -0.84 y -0.62), a los cuales se aplic</w:t>
      </w:r>
      <w:r>
        <w:rPr>
          <w:rtl w:val="0"/>
        </w:rPr>
        <w:t xml:space="preserve">ó </w:t>
      </w:r>
      <w:r>
        <w:rPr>
          <w:rtl w:val="0"/>
          <w:lang w:val="es-ES_tradnl"/>
        </w:rPr>
        <w:t>un incremento de precio del 5% solo en el grupo de Tratamiento</w:t>
      </w:r>
      <w:r>
        <w:rPr>
          <w:rtl w:val="0"/>
          <w:lang w:val="es-ES_tradnl"/>
        </w:rPr>
        <w:t xml:space="preserve">. </w:t>
      </w:r>
    </w:p>
    <w:p>
      <w:pPr>
        <w:pStyle w:val="Body"/>
      </w:pPr>
      <w:r>
        <w:rPr>
          <w:rtl w:val="0"/>
          <w:lang w:val="es-ES_tradnl"/>
        </w:rPr>
        <w:t>Asimismo se utilizaron los productos E199 y E169, con alta elasticidad (entre -1.68 y -1.39), a los que se les aplic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una disminuci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precio de 7% al grupo de Tratamiento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es-ES_tradnl"/>
        </w:rPr>
        <w:t>El grupo Control mantiene los precios base.</w:t>
      </w:r>
    </w:p>
    <w:p>
      <w:pPr>
        <w:pStyle w:val="Heading 2"/>
      </w:pPr>
      <w:r>
        <w:rPr>
          <w:rtl w:val="0"/>
        </w:rPr>
        <w:t>3.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tricas de Evaluaci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n (KPIs)</w:t>
      </w:r>
    </w:p>
    <w:p>
      <w:pPr>
        <w:pStyle w:val="Body"/>
      </w:pPr>
      <w:r>
        <w:rPr>
          <w:rtl w:val="0"/>
          <w:lang w:val="es-ES_tradnl"/>
        </w:rPr>
        <w:t>- Revenue total y por usuario</w:t>
      </w:r>
    </w:p>
    <w:p>
      <w:pPr>
        <w:pStyle w:val="Body"/>
      </w:pPr>
      <w:r>
        <w:rPr>
          <w:rtl w:val="0"/>
          <w:lang w:val="nl-NL"/>
        </w:rPr>
        <w:t>- N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 de </w:t>
      </w:r>
      <w:r>
        <w:rPr>
          <w:rtl w:val="0"/>
          <w:lang w:val="es-ES_tradnl"/>
        </w:rPr>
        <w:t>ó</w:t>
      </w:r>
      <w:r>
        <w:rPr>
          <w:rtl w:val="0"/>
        </w:rPr>
        <w:t>rdenes</w:t>
      </w:r>
    </w:p>
    <w:p>
      <w:pPr>
        <w:pStyle w:val="Body"/>
      </w:pPr>
      <w:r>
        <w:rPr>
          <w:rtl w:val="0"/>
          <w:lang w:val="pt-PT"/>
        </w:rPr>
        <w:t>- Tasa de recompra</w:t>
      </w:r>
    </w:p>
    <w:p>
      <w:pPr>
        <w:pStyle w:val="Body"/>
      </w:pPr>
      <w:r>
        <w:rPr>
          <w:rtl w:val="0"/>
          <w:lang w:val="it-IT"/>
        </w:rPr>
        <w:t>- Ticket promedio</w:t>
      </w:r>
    </w:p>
    <w:p>
      <w:pPr>
        <w:pStyle w:val="Body"/>
      </w:pPr>
      <w:r>
        <w:rPr>
          <w:rtl w:val="0"/>
          <w:lang w:val="es-ES_tradnl"/>
        </w:rPr>
        <w:t>- Uplift entre grupos</w:t>
      </w:r>
    </w:p>
    <w:p>
      <w:pPr>
        <w:pStyle w:val="Heading 2"/>
      </w:pPr>
      <w:r>
        <w:rPr>
          <w:rtl w:val="0"/>
          <w:lang w:val="es-ES_tradnl"/>
        </w:rPr>
        <w:t>4.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Estad</w:t>
      </w:r>
      <w:r>
        <w:rPr>
          <w:rtl w:val="0"/>
        </w:rPr>
        <w:t>í</w:t>
      </w:r>
      <w:r>
        <w:rPr>
          <w:rtl w:val="0"/>
          <w:lang w:val="it-IT"/>
        </w:rPr>
        <w:t>stica</w:t>
      </w:r>
    </w:p>
    <w:p>
      <w:pPr>
        <w:pStyle w:val="Body"/>
      </w:pPr>
      <w:r>
        <w:rPr>
          <w:rtl w:val="0"/>
          <w:lang w:val="pt-PT"/>
        </w:rPr>
        <w:t>Se utilizar</w:t>
      </w:r>
      <w:r>
        <w:rPr>
          <w:rtl w:val="0"/>
        </w:rPr>
        <w:t>á</w:t>
      </w:r>
      <w:r>
        <w:rPr>
          <w:rtl w:val="0"/>
          <w:lang w:val="es-ES_tradnl"/>
        </w:rPr>
        <w:t>n pruebas T-test o Mann-Whitney U para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tricas continuas, y test de proporciones para recompra. Se considerar</w:t>
      </w:r>
      <w:r>
        <w:rPr>
          <w:rtl w:val="0"/>
        </w:rPr>
        <w:t xml:space="preserve">á </w:t>
      </w:r>
      <w:r>
        <w:rPr>
          <w:rtl w:val="0"/>
          <w:lang w:val="it-IT"/>
        </w:rPr>
        <w:t>significativo un p-valor &lt; 0.05.</w:t>
      </w:r>
    </w:p>
    <w:p>
      <w:pPr>
        <w:pStyle w:val="Heading 2"/>
      </w:pPr>
      <w:r>
        <w:rPr>
          <w:rtl w:val="0"/>
        </w:rPr>
        <w:t>5.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Experimento</w:t>
      </w:r>
    </w:p>
    <w:p>
      <w:pPr>
        <w:pStyle w:val="Body"/>
      </w:pPr>
      <w:r>
        <w:rPr>
          <w:rtl w:val="0"/>
          <w:lang w:val="es-ES_tradnl"/>
        </w:rPr>
        <w:t>El experimento se ejecutar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durante 4 semanas, con seguimiento semanal y an</w:t>
      </w:r>
      <w:r>
        <w:rPr>
          <w:rtl w:val="0"/>
        </w:rPr>
        <w:t>á</w:t>
      </w:r>
      <w:r>
        <w:rPr>
          <w:rtl w:val="0"/>
          <w:lang w:val="es-ES_tradnl"/>
        </w:rPr>
        <w:t>lisis acumulado al finalizar.</w:t>
      </w:r>
    </w:p>
    <w:p>
      <w:pPr>
        <w:pStyle w:val="Heading 2"/>
        <w:rPr>
          <w:sz w:val="20"/>
          <w:szCs w:val="20"/>
        </w:rPr>
      </w:pPr>
      <w:r>
        <w:rPr>
          <w:rtl w:val="0"/>
          <w:lang w:val="es-ES_tradnl"/>
        </w:rPr>
        <w:t>6. Costos y Riesgos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Body"/>
      </w:pPr>
      <w:r>
        <w:rPr>
          <w:rtl w:val="0"/>
          <w:lang w:val="es-ES_tradnl"/>
        </w:rPr>
        <w:t>- Bajo riesgo de p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rdida de revenue por la selecci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clientes inactivos y productos inel</w:t>
      </w:r>
      <w:r>
        <w:rPr>
          <w:rtl w:val="0"/>
        </w:rPr>
        <w:t>á</w:t>
      </w:r>
      <w:r>
        <w:rPr>
          <w:rtl w:val="0"/>
          <w:lang w:val="pt-PT"/>
        </w:rPr>
        <w:t>sticos.</w:t>
      </w:r>
    </w:p>
    <w:p>
      <w:pPr>
        <w:pStyle w:val="Body"/>
      </w:pPr>
      <w:r>
        <w:rPr>
          <w:rtl w:val="0"/>
          <w:lang w:val="es-ES_tradnl"/>
        </w:rPr>
        <w:t>- Riesgo bajo de percepci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negativa del cliente al ser una prueba no p</w:t>
      </w:r>
      <w:r>
        <w:rPr>
          <w:rtl w:val="0"/>
        </w:rPr>
        <w:t>ú</w:t>
      </w:r>
      <w:r>
        <w:rPr>
          <w:rtl w:val="0"/>
          <w:lang w:val="pt-PT"/>
        </w:rPr>
        <w:t>blica.</w:t>
      </w:r>
    </w:p>
    <w:p>
      <w:pPr>
        <w:pStyle w:val="Body"/>
      </w:pPr>
      <w:r>
        <w:rPr>
          <w:rtl w:val="0"/>
          <w:lang w:val="es-ES_tradnl"/>
        </w:rPr>
        <w:t>- Riesgo de ruido externo mitigado con grupo de control.</w:t>
      </w:r>
    </w:p>
    <w:p>
      <w:pPr>
        <w:pStyle w:val="Heading 2"/>
      </w:pPr>
      <w:r>
        <w:rPr>
          <w:rtl w:val="0"/>
          <w:lang w:val="es-ES_tradnl"/>
        </w:rPr>
        <w:t>7. Posibles Resultados e Interpretaci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Body"/>
      </w:pPr>
      <w:r>
        <w:rPr>
          <w:rtl w:val="0"/>
          <w:lang w:val="es-ES_tradnl"/>
        </w:rPr>
        <w:t>- Resultado positivo: se escala la estrategia a m</w:t>
      </w:r>
      <w:r>
        <w:rPr>
          <w:rtl w:val="0"/>
        </w:rPr>
        <w:t>á</w:t>
      </w:r>
      <w:r>
        <w:rPr>
          <w:rtl w:val="0"/>
          <w:lang w:val="es-ES_tradnl"/>
        </w:rPr>
        <w:t>s productos y vendors.</w:t>
      </w:r>
    </w:p>
    <w:p>
      <w:pPr>
        <w:pStyle w:val="Body"/>
      </w:pPr>
      <w:r>
        <w:rPr>
          <w:rtl w:val="0"/>
          <w:lang w:val="es-ES_tradnl"/>
        </w:rPr>
        <w:t>- Sin efecto: se replantea la elasticidad o tipo de incentivo.</w:t>
      </w:r>
    </w:p>
    <w:p>
      <w:pPr>
        <w:pStyle w:val="Body"/>
      </w:pPr>
      <w:r>
        <w:rPr>
          <w:rtl w:val="0"/>
          <w:lang w:val="es-ES_tradnl"/>
        </w:rPr>
        <w:t>- Resultado negativo: se detiene la estrategia y se ajusta targeting o canal.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F81BD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